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73" w:after="173"/>
        <w:ind w:left="173" w:right="173"/>
        <w:jc w:val="left"/>
        <w:outlineLvl w:val="0"/>
        <w:rPr>
          <w:rFonts w:hint="eastAsia" w:ascii="黑体" w:hAnsi="黑体" w:eastAsia="黑体" w:cs="黑体"/>
          <w:bCs/>
          <w:kern w:val="36"/>
          <w:sz w:val="32"/>
          <w:szCs w:val="32"/>
        </w:rPr>
      </w:pPr>
      <w:r>
        <w:rPr>
          <w:rFonts w:hint="eastAsia" w:ascii="黑体" w:hAnsi="黑体" w:eastAsia="黑体" w:cs="黑体"/>
          <w:bCs/>
          <w:kern w:val="36"/>
          <w:sz w:val="32"/>
          <w:szCs w:val="32"/>
        </w:rPr>
        <w:t>附件</w:t>
      </w:r>
      <w:bookmarkStart w:id="0" w:name="_GoBack"/>
      <w:bookmarkEnd w:id="0"/>
      <w:r>
        <w:rPr>
          <w:rFonts w:hint="eastAsia" w:ascii="黑体" w:hAnsi="黑体" w:eastAsia="黑体" w:cs="黑体"/>
          <w:bCs/>
          <w:kern w:val="36"/>
          <w:sz w:val="32"/>
          <w:szCs w:val="32"/>
        </w:rPr>
        <w:t>：</w:t>
      </w:r>
    </w:p>
    <w:p>
      <w:pPr>
        <w:widowControl/>
        <w:spacing w:before="173" w:after="173"/>
        <w:ind w:left="173" w:right="173"/>
        <w:jc w:val="center"/>
        <w:outlineLvl w:val="0"/>
        <w:rPr>
          <w:rFonts w:hint="eastAsia" w:ascii="黑体" w:hAnsi="黑体" w:eastAsia="黑体" w:cs="黑体"/>
          <w:b/>
          <w:bCs/>
          <w:kern w:val="36"/>
          <w:sz w:val="44"/>
          <w:szCs w:val="44"/>
        </w:rPr>
      </w:pPr>
      <w:r>
        <w:rPr>
          <w:rFonts w:hint="eastAsia" w:ascii="黑体" w:hAnsi="黑体" w:eastAsia="黑体" w:cs="黑体"/>
          <w:b/>
          <w:bCs/>
          <w:kern w:val="36"/>
          <w:sz w:val="44"/>
          <w:szCs w:val="44"/>
        </w:rPr>
        <w:t>关于对失信及违法违规房地产开发企业进行惩戒和限制的公告</w:t>
      </w:r>
    </w:p>
    <w:p>
      <w:pPr>
        <w:widowControl/>
        <w:spacing w:line="288" w:lineRule="atLeast"/>
        <w:jc w:val="center"/>
        <w:rPr>
          <w:rFonts w:hint="eastAsia" w:asciiTheme="minorEastAsia" w:hAnsiTheme="minorEastAsia" w:eastAsiaTheme="minorEastAsia" w:cstheme="minorEastAsia"/>
          <w:spacing w:val="23"/>
          <w:kern w:val="0"/>
          <w:sz w:val="28"/>
          <w:szCs w:val="28"/>
        </w:rPr>
      </w:pPr>
      <w:r>
        <w:rPr>
          <w:rFonts w:hint="eastAsia" w:asciiTheme="minorEastAsia" w:hAnsiTheme="minorEastAsia" w:eastAsiaTheme="minorEastAsia" w:cstheme="minorEastAsia"/>
          <w:spacing w:val="23"/>
          <w:kern w:val="0"/>
          <w:sz w:val="28"/>
          <w:szCs w:val="28"/>
        </w:rPr>
        <w:t>2018年07月12日</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为深入开展全省房地产领域信访问题专项整治，进一步优化营商环境，根据《房地产开发企业资质管理规定》（建设部令第77号）、《关于印发对失信被执行人实施联合惩戒的合作备忘录的通知》（黑高法</w:t>
      </w:r>
      <w:r>
        <w:rPr>
          <w:rFonts w:hint="eastAsia" w:asciiTheme="minorEastAsia" w:hAnsiTheme="minorEastAsia" w:cstheme="minorEastAsia"/>
          <w:color w:val="000000"/>
          <w:spacing w:val="35"/>
          <w:kern w:val="0"/>
          <w:sz w:val="28"/>
          <w:szCs w:val="28"/>
          <w:lang w:val="en-US" w:eastAsia="zh-CN"/>
        </w:rPr>
        <w:t>[</w:t>
      </w:r>
      <w:r>
        <w:rPr>
          <w:rFonts w:hint="eastAsia" w:asciiTheme="minorEastAsia" w:hAnsiTheme="minorEastAsia" w:eastAsiaTheme="minorEastAsia" w:cstheme="minorEastAsia"/>
          <w:color w:val="000000"/>
          <w:spacing w:val="35"/>
          <w:kern w:val="0"/>
          <w:sz w:val="28"/>
          <w:szCs w:val="28"/>
        </w:rPr>
        <w:t>2017</w:t>
      </w:r>
      <w:r>
        <w:rPr>
          <w:rFonts w:hint="eastAsia" w:asciiTheme="minorEastAsia" w:hAnsiTheme="minorEastAsia" w:cstheme="minorEastAsia"/>
          <w:color w:val="000000"/>
          <w:spacing w:val="35"/>
          <w:kern w:val="0"/>
          <w:sz w:val="28"/>
          <w:szCs w:val="28"/>
          <w:lang w:val="en-US" w:eastAsia="zh-CN"/>
        </w:rPr>
        <w:t>]</w:t>
      </w:r>
      <w:r>
        <w:rPr>
          <w:rFonts w:hint="eastAsia" w:asciiTheme="minorEastAsia" w:hAnsiTheme="minorEastAsia" w:eastAsiaTheme="minorEastAsia" w:cstheme="minorEastAsia"/>
          <w:color w:val="000000"/>
          <w:spacing w:val="35"/>
          <w:kern w:val="0"/>
          <w:sz w:val="28"/>
          <w:szCs w:val="28"/>
        </w:rPr>
        <w:t>7号）的有关规定，现对人民法院纳入失信被执行的房地产开发企业、项目逾期未回迁安置的房地产开发企业、资质有效期届满且未办理延续的房地产开发企业予以公布，并实施重点监管、惩戒和限制。</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1.加大对公布企业的日常监管力度和监管频次，防止再次发生违法违规行为。</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2.对法院纳入失信被执行的房地产开发企业及法定代表人、主要负责人、实际控制人、影响债务实际履行的直接责任人，停止其办理新建商品房买卖网上签约、存量房买卖合同网上签约和房屋交易手续，两年内禁止资质升级；相关部门和机构配合落实联合惩戒措施。</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3.限制新项目准入，对法院纳入失信被执行的、项目逾期未回迁安置的、资质有效期届满且未办理延续的房地产开发企业在全省范围内禁止新项目开发建设。</w:t>
      </w:r>
    </w:p>
    <w:p>
      <w:pPr>
        <w:widowControl/>
        <w:spacing w:line="288" w:lineRule="atLeast"/>
        <w:ind w:firstLine="48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4.对资质有效期届满且未办理延续的房地产开发企业，注销企业资质；对尚有尾盘的企业要到当地主管部门办理备案手续，待尾盘处理后再予以注销。</w:t>
      </w:r>
    </w:p>
    <w:p>
      <w:pPr>
        <w:widowControl/>
        <w:spacing w:line="288" w:lineRule="atLeast"/>
        <w:jc w:val="righ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黑龙江省住房和城乡建设厅</w:t>
      </w:r>
    </w:p>
    <w:p>
      <w:pPr>
        <w:widowControl/>
        <w:spacing w:line="288" w:lineRule="atLeast"/>
        <w:jc w:val="righ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2018年7月12日</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黑体" w:hAnsi="黑体" w:eastAsia="黑体" w:cs="黑体"/>
          <w:color w:val="000000"/>
          <w:spacing w:val="35"/>
          <w:kern w:val="0"/>
          <w:sz w:val="28"/>
          <w:szCs w:val="28"/>
        </w:rPr>
        <w:t>一、人民法院纳入失信被执行的房地产开发企业名单（141家）</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安达锦融房地产开发有限公司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大庆北航房地产开发有限公司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大庆豪阁房地产开发有限公司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大庆华尔雅房地产开发有限公司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大庆隆源房地产开发有限公司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大庆市华圣房地产开发有限公司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大庆市凯帝房地产开发有限公司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大庆市裕隆子豪房地产开发有限公司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大庆市煜凯丰房地产开发有限公司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大庆溪莲房地产开发有限公司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大庆兴兴房地产开发有限公司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大庆正盛房地产开发有限公司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大庆中祺房地产开发有限公司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富裕县振兴房地产开发有限责任公司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甘南浩翔房地产开发有限公司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甘南县浩瀚房地产开发有限公司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甘南县荣昌房地产开发有限责任公司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高密市新长城房地产开发有限责任公司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哈尔滨东泰房地产开发有限公司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哈尔滨福思特房地产开发有限公司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哈尔滨国际城房地产开发有限公司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哈尔滨恒泰裕隆房地产开发有限公司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哈尔滨恒祥泰和房地产开发有限公司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哈尔滨鸿盛房地产开发集团有限公司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哈尔滨汇雄时代房地产开发有限公司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哈尔滨钧鹏房地产综合开发有限责任公司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哈尔滨盛鑫达房地产开发有限公司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哈尔滨市春宇房地产开发有限公司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哈尔滨四海园房地产开发有限公司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哈尔滨天福缘房地产开发有限公司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哈尔滨天时房地产开发有限责任公司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哈尔滨王景房地产综合开发有限公司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哈尔滨新世界房地产开发有限公司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哈尔滨永吉房地产开发有限公司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哈尔滨中兴房地产开发有限责任公司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海林市房地产综合开发有限公司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海林市中鼎房地产开发有限公司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海伦市万鼎房地产开发有限公司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鹤岗市洪河房地产开发有限公司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鹤岗市荣阳房地产开发有限责任公司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黑河市更佳房地产开发有限公司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黑龙江北辰房地产开发有限公司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黑龙江辰坤房地产开发有限公司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黑龙江鼎盛尚居房地产开发有限公司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黑龙江发发房地产开发有限责任公司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黑龙江富立达房地产开发有限公司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黑龙江海宇房地产开发有限公司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黑龙江宏亿信房地产开发有限公司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黑龙江汇雄房地产开发有限公司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黑龙江建成房地产开发有限公司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黑龙江金地园房地产开发有限公司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黑龙江金捷房地产开发有限公司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黑龙江金上京房地产开发有限公司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黑龙江金世纪房地产开发有限责任公司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黑龙江钜鼎房地产开发有限公司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黑龙江俊炜房地产开发有限责任公司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黑龙江立宏房地产开发有限公司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黑龙江农垦大通房地产开发有限公司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黑龙江省宏强房地产开发有限公司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黑龙江省惠福房地产开发有限公司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黑龙江省佳威房地产开发有限公司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黑龙江省龙腾房地产综合开发公司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黑龙江省铭洋房地产开发有限公司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黑龙江省日出康城房地产开发有限公司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黑龙江省瑞华房地产开发有限公司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黑龙江省三奥房地产开发有限公司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黑龙江省山水房地产开发有限公司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黑龙江省盛恒基房地产开发集团有限公司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黑龙江省万合房地产开发有限责任公司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黑龙江圣基伟业房地产开发有限公司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黑龙江世纪家园房地产开发有限公司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黑龙江舜龙合泰房地产开发有限公司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黑龙江太平湖房地产开发有限公司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黑龙江天和房地产开发有限公司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黑龙江天顺缘房地产开发有限公司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黑龙江新宏基建设集团房地产开发有限公司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黑龙江新禧房地产开发有限公司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黑龙江富海兴远房地产开发有限公司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黑龙江一林房地产开发有限公司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黑龙江亿隆房地产开发有限公司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黑龙江战友房地产开发有限公司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黑龙江长宏房地产开发有限公司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黑龙江珍铭苑房地产开发有限公司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黑龙江志合房地产开发有限公司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黑龙江中祺亿和房地产开发有限公司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黑龙江中盛房地产开发有限责任公司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黑龙江忠信伟业房地产开发有限公司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黑龙江众盛房地产开发有限公司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恒祥房地产开发有限公司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虎林市天马房地产开发有限公司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鸡东县恒泰裕隆房地产开发有限公司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鸡西市成业房地产开发有限公司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鸡西市滴道区房地产开发公司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鸡西市福龙房地产开发有限公司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鸡西市福缘房地产开发有限公司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鸡西市恒太房地产开发有限公司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鸡西市华晨房地产开发有限公司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鸡西市汇鑫房地产开发有限公司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鸡西市坚实房地产开发有限公司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鸡西市锦绣房地产开发有限公司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鸡西市京宏房地产开发有限公司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鸡西市鑫龙房地产开发有限公司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鸡西市元鸿房地产开发有限公司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鸡西万顺房地产开发有限公司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鸡西长宇房地产开发有限公司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吉林省冠金衡房地产开发有限公司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集贤县恒泰裕隆房地产开发有限公司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集贤县汇鑫房地产开发有限责任公司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集贤县建辉房地产开发有限公司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佳木斯金尊房地产开发有限公司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佳木斯巨丰房地产开发有限公司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佳木斯昆仑房地产开发有限公司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佳木斯市国联房地产开发有限公司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佳木斯市建安房地产开发有限公司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佳木斯市金石房地产开发有限公司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佳木斯万基房地产开发有限公司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佳木斯巍宇房地产开发有限公司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龙江鑫宝源房地产开发有限责任公司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密山市金玉房地产开发有限公司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密山市靖裕房地产开发有限公司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牡丹江德润房地产开发有限公司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牡丹江江湾房地产开发有限公司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牡丹江均胜房地产置业有限公司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牡丹江瑞合房地产开发有限责任公司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牡丹江天福利亨房地产开发有限公司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宁安市房地产开发总公司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齐齐哈尔市方正房地产开发有限责任公司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齐齐哈尔市交通房地产开发有限责任公司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齐齐哈尔市天伦王朝房地产开发有限公司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齐齐哈尔天成房地产开发有限公司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齐齐哈尔正信嘉祥房地产开发有限公司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庆安县鑫达房地产开发有限责任公司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饶河县和泰房地产开发有限公司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绥芬河东辰房地产开发有限公司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绥芬河市凯莱房地产开发有限公司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绥芬河市长城房地产开发有限责任公司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绥化市广建房地产开发有限公司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同江市时代房地产开发有限责任公司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伊春市兴安房地产开发有限公司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依安县银都房地产开发有限公司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肇源县博建房地产开发有限公司</w:t>
      </w:r>
    </w:p>
    <w:p>
      <w:pPr>
        <w:widowControl/>
        <w:spacing w:line="288" w:lineRule="atLeast"/>
        <w:ind w:firstLine="700" w:firstLineChars="200"/>
        <w:jc w:val="left"/>
        <w:rPr>
          <w:rFonts w:hint="eastAsia" w:ascii="黑体" w:hAnsi="黑体" w:eastAsia="黑体" w:cs="黑体"/>
          <w:color w:val="000000"/>
          <w:spacing w:val="35"/>
          <w:kern w:val="0"/>
          <w:sz w:val="28"/>
          <w:szCs w:val="28"/>
        </w:rPr>
      </w:pPr>
      <w:r>
        <w:rPr>
          <w:rFonts w:hint="eastAsia" w:ascii="黑体" w:hAnsi="黑体" w:eastAsia="黑体" w:cs="黑体"/>
          <w:color w:val="000000"/>
          <w:spacing w:val="35"/>
          <w:kern w:val="0"/>
          <w:sz w:val="28"/>
          <w:szCs w:val="28"/>
        </w:rPr>
        <w:t>二、项目逾期未回迁安置的房地产开发企业名单（92家）</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哈尔滨万邦房地产开发有限公司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黑龙江禧年房地产开发集团股份有限公司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绿地集团哈尔滨绿洋置业有限公司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哈尔滨力天房地产开发有限公司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黑龙江省新合作置业有限公司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黑龙江省中然房地产开发有限公司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哈尔滨市长禹房地产开发有限公司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哈尔滨圣隆房地产开发有限公司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黑龙江省坤龙房地产开发有限公司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黑龙江鼎盛尚居房地产开发有限公司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通河县跃通国有房地产开发有限公司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拜泉县齐发房屋开发有限公司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牡丹江均胜房地产置业有限公司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牡丹江弘运房地产开发有限公司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牡丹江铁路房地产综合开发公司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牡丹江万通房地产开发有限公司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牡丹江市翔瑞房地产开发有限公司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牡丹江市英华房地产开发有限公司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牡丹江市正航房地产开发有限公司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牡丹江鼎元房地产开发有限公司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黑龙江千惠房地产开发有限公司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牡丹江市龙诚房地产开发有限公司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林口海天置业房地产开发有限公司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东宁县吉祥房地产开发有限责任公司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海林市力金达房地产开发有限公司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牡丹江信源房地产开发有限公司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黑龙江圣福伟业房地产开发有限公司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海林市绿园房地产开发有限公司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佳木斯巨丰房地产开发有限公司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黑龙江兴运房地产开发有限公司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佳木斯鼎源房地产开发有限公司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佳木斯海方房地产开发有限公司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佳木斯金鑫房地产开发有限公司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黑龙江省嘉庆房地产开发有限责任公司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佳木斯万基房地产开发有限公司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黑龙江省瑞阳房地产综合开发有限公司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芜湖市港九房地产开发有限公司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鸡西市锦绣房地产开发有限公司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鸡西市坚实房地产开发有限公司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恒祥房地产开发有限公司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鸡东县恒泰裕隆房地产开发有限公司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黑龙江天顺缘房地产开发有限公司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哈尔滨恒泰裕隆房地产开发有限公司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双鸭山市金城房地产开发有限公司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双鸭山市腾远房地产开发有限公司</w:t>
      </w:r>
    </w:p>
    <w:p>
      <w:pPr>
        <w:widowControl/>
        <w:spacing w:line="288" w:lineRule="atLeast"/>
        <w:ind w:firstLine="700" w:firstLineChars="200"/>
        <w:jc w:val="left"/>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集贤县天一房地产开发有限公司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佳木斯广安建筑开发有限公司宝清分公司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双鸭山北方新盟房地产开发有限公司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宝清县永泰房地产开发有限责任公司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黑龙江新宏基建设集团房地产开发有限公司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黑河市万通房地产开发有限责任公司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龙江鑫宝源房地产开发有限责任公司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北安市昊泰房地产开发有限公司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嫩江县宏顺达房地产开发有限责任公司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绥化市圣铭房地产开发有限公司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黑龙江省连盈房地产开发有限公司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黑龙江省德润房地产开发有限公司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哈尔滨市天禹达房地产开发有限公司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黑龙江圣景大通房地产开发有限公司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海伦富华房地产开发有限公司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黑龙江省宝元房地产开发有限公司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黑龙江兆义房地产开发有限公司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安达市业盛房地产开发有限公司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黑龙江省海德宇房地产开发有限责任公司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大庆市凯帝房地产开发有限公司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绥棱协旺房屋置业有限公司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绥棱县新诚房地产开发有限公司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绥棱世嘉房地产开发有限公司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黑龙江万禧房地产开发有限公司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绥化泓翔房地产开发有限公司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东宁市信诚房地产开发有限公司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黑龙江恒隆房地产开发有限责任公司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绿地地产集团牡丹江爱民置业有限公司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鸡西市中龙房地产开发有限公司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鸡西市成业房地产开发有限公司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鸡西市华晨房地产开发有限公司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双鸭山市华鑫房地产开发有限公司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绥化鑫桂房地产开发有限公司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绥化润辉房地产开发有限公司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黑龙江龙泉房地产开发有限公司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黑龙江华能时代房地产开发有限公司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绥化市鑫鹤房地产开发有限公司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黑龙江省鑫威房地产开发集团有限公司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黑龙江省福和隆房地产开发有限公司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黑龙江翔龙房地产开发有限公司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黑龙江省佳望房地产开发有限公司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黑龙江鸿嘉房地产开发有限公司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绥化润峰房地产开发有限公司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黑龙江百兴园房地产开发有限公司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庆安银泉房地产开发有限公司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黑龙江程铁房地产开发有限公司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绥化农垦兴业房地产开发有限责任公司</w:t>
      </w:r>
    </w:p>
    <w:p>
      <w:pPr>
        <w:widowControl/>
        <w:spacing w:line="288" w:lineRule="atLeast"/>
        <w:ind w:firstLine="700" w:firstLineChars="200"/>
        <w:jc w:val="both"/>
        <w:rPr>
          <w:rFonts w:hint="eastAsia" w:ascii="黑体" w:hAnsi="黑体" w:eastAsia="黑体" w:cs="黑体"/>
          <w:color w:val="000000"/>
          <w:spacing w:val="35"/>
          <w:kern w:val="0"/>
          <w:sz w:val="28"/>
          <w:szCs w:val="28"/>
        </w:rPr>
      </w:pPr>
      <w:r>
        <w:rPr>
          <w:rFonts w:hint="eastAsia" w:ascii="黑体" w:hAnsi="黑体" w:eastAsia="黑体" w:cs="黑体"/>
          <w:color w:val="000000"/>
          <w:spacing w:val="35"/>
          <w:kern w:val="0"/>
          <w:sz w:val="28"/>
          <w:szCs w:val="28"/>
        </w:rPr>
        <w:t>三、资质有效期届满且未办理延续的房地产开发企业名单（105家）</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黑龙江省亿润房地产开发有限公司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哈尔滨双龙房地产开发有限公司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哈尔滨建安房地产开发有限公司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黑龙江省鸿脉房地产开发有限公司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牡丹江天福利亨房地产开发有限公司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肇东新亚房地产开发有限公司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黑龙江蓝天房地产开发有限责任公司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黑龙江金图房地产开发有限公司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哈尔滨盛鑫达房地产开发有限公司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黑龙江亿海房地产开发有限公司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牡丹江市鸿旭房地产开发有限公司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哈尔滨市众邦房地产开发有限公司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哈尔滨师大现代文化艺术产业园发展有限公司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黑龙江泽强房地产开发有限公司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佳木斯万达广场投资有限公司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大庆市威强房地产开发有限公司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鹤岗市昊天房地产开发有限责任公司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黑龙江省闻达房地产开发有限责任公司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黑龙江省亿鑫房地产开发有限责任公司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牡丹江永丰房地产开发有限公司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饶河县和泰房地产开发有限公司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哈尔滨市金兴房地产开发有限公司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大庆市华晔房地产开发有限公司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牡丹江市林茂房产开发有限公司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黑龙江省大越房地产开发有限公司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嫩江县金盛原房地产开发有限责任公司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牡丹江市龙诚房地产开发有限公司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牡丹江市上亿置业有限公司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哈尔滨市芝丰房地产开发有限公司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海伦市宝鼎房地产开发有限公司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庆安县鑫达房地产开发有限责任公司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黑龙江齐齐哈尔农垦福顺房地产开发有限公司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黑龙江红兴隆农垦利达房地产开发有限公司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泰来县惠城房地产开发有限公司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大庆豪阁房地产开发有限公司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黑龙江省牡丹江农垦恒基房地产开发有限公司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抚远县建华房地产开发有限责任公司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黑龙江省巨宏房地产开发有限公司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尚志市房地产开发公司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黑龙江绿茵房地产开发有限公司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黑龙江富城房地产开发有限公司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哈尔滨科技实业开发有限公司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黑龙江国泰兄弟置业有限公司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大庆市一建房地产开发公司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黑龙江省千秋房地产开发有限责任公司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双鸭山市大地房地产开发有限公司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黑龙江龙高置业有限公司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黑龙江富强房地产开发有限公司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黑龙江壹嘉创世房地产开发有限公司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黑龙江省金威达房地产开发有限责任公司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黑龙江省睿航房地产开发有限公司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黑龙江中迪房地产开发有限公司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黑龙江荣利房地产开发有限公司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牡丹江市东源房地产开发有限公司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黑龙江农垦龙香源房地产开发有限公司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鸡东县金福房地产开发有限公司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黑龙江嘉鹏房地产开发有限公司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齐齐哈尔市万和房地产开发有限责任公司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大庆市鑫里程房地产开发有限公司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拜泉县东祥房地产开发有限公司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明水县鼎盛房地产开发有限公司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哈尔滨市嘉宸房地产置业有限公司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哈尔滨宏翔房地产开发有限公司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黑龙江万隆房地产开发有限公司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哈尔滨正泰房地产开发有限公司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伊春天通房地产开发有限公司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伊春市嘉航房地产开发有限责任公司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海林市泛华置业有限公司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哈尔滨市明森房地产开发有限公司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齐齐哈尔亿家房地产开发有限公司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黑龙江农垦鑫泰房地产开发有限公司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绥棱县兴林房地产开发有限公司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集贤县亿顺房地产开发有限公司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牡丹江方大房地产开发有限公司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黑龙江省龙府丽景房地产开发有限公司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黑龙江炬鹏房地产开发有限责任公司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肇东市鑫鹏房地产开发有限公司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黑龙江省隆桥房地产开发有限公司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哈尔滨金展房地产开发有限公司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黑龙江栢鑫房地产开发有限公司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黑龙江省世凯房地产开发有限公司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黑龙江兴林房地产开发有限公司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黑龙江省凯俊房地产开发有限公司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哈尔滨顺钰房地产开发有限公司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鸡东县雪越房地产开发有限公司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黑龙江亿澳房地产开发有限责任公司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嫩江县昆仑建筑有限公司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牡丹江市锦辉房地产开发有限公司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牡丹江美林房地产开发有限公司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黑龙江飞跃房地产开发有限公司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黑龙江晟永房地产开发有限公司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鸡西市成业房地产开发有限公司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牡丹江市佳隆房地产开发有限公司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黑龙江金顺源房地产开发有限公司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哈尔滨馨庭房地产开发有限公司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黑龙江省鹤岗市盛达房地产开发有限公司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黑龙江省五洋房地产开发有限公司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抚远县远诚建设开发有限公司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密山市鸿发房地产开发有限公司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黑龙江省建三江农垦恒鼎房地产开发有限责任公司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尚志市大地房地产开发有限公司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铁力巿朗乡伟业房地产开发有限责任公司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黑龙江骏帆房地产开发有限公司</w:t>
      </w:r>
    </w:p>
    <w:p>
      <w:pPr>
        <w:widowControl/>
        <w:spacing w:line="288" w:lineRule="atLeast"/>
        <w:ind w:firstLine="700" w:firstLineChars="200"/>
        <w:jc w:val="both"/>
        <w:rPr>
          <w:rFonts w:hint="eastAsia" w:asciiTheme="minorEastAsia" w:hAnsiTheme="minorEastAsia" w:eastAsiaTheme="minorEastAsia" w:cstheme="minorEastAsia"/>
          <w:color w:val="000000"/>
          <w:spacing w:val="35"/>
          <w:kern w:val="0"/>
          <w:sz w:val="28"/>
          <w:szCs w:val="28"/>
        </w:rPr>
      </w:pPr>
      <w:r>
        <w:rPr>
          <w:rFonts w:hint="eastAsia" w:asciiTheme="minorEastAsia" w:hAnsiTheme="minorEastAsia" w:eastAsiaTheme="minorEastAsia" w:cstheme="minorEastAsia"/>
          <w:color w:val="000000"/>
          <w:spacing w:val="35"/>
          <w:kern w:val="0"/>
          <w:sz w:val="28"/>
          <w:szCs w:val="28"/>
        </w:rPr>
        <w:t>齐齐哈尔市隆瀚房地产开发有限公</w:t>
      </w:r>
    </w:p>
    <w:p>
      <w:pPr>
        <w:widowControl/>
        <w:spacing w:line="288" w:lineRule="atLeast"/>
        <w:ind w:firstLine="700" w:firstLineChars="200"/>
        <w:jc w:val="both"/>
      </w:pPr>
      <w:r>
        <w:rPr>
          <w:rFonts w:hint="eastAsia" w:asciiTheme="minorEastAsia" w:hAnsiTheme="minorEastAsia" w:eastAsiaTheme="minorEastAsia" w:cstheme="minorEastAsia"/>
          <w:color w:val="000000"/>
          <w:spacing w:val="35"/>
          <w:kern w:val="0"/>
          <w:sz w:val="28"/>
          <w:szCs w:val="28"/>
        </w:rPr>
        <w:t>鸡西市广居房屋开发有限公司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A5A"/>
    <w:rsid w:val="005F0969"/>
    <w:rsid w:val="00687F6D"/>
    <w:rsid w:val="00703A5A"/>
    <w:rsid w:val="00B97AF9"/>
    <w:rsid w:val="00F20CEB"/>
    <w:rsid w:val="00FE771C"/>
    <w:rsid w:val="5571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left"/>
    <w:basedOn w:val="6"/>
    <w:uiPriority w:val="0"/>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892</Words>
  <Characters>5087</Characters>
  <Lines>42</Lines>
  <Paragraphs>11</Paragraphs>
  <TotalTime>28</TotalTime>
  <ScaleCrop>false</ScaleCrop>
  <LinksUpToDate>false</LinksUpToDate>
  <CharactersWithSpaces>5968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2018-07-17T06:38:00Z</dcterms:created>
  <dc:creator>user</dc:creator>
  <cp:lastModifiedBy>Administrator</cp:lastModifiedBy>
  <cp:lastPrinted>2018-07-17T08:10:00Z</cp:lastPrinted>
  <dcterms:modified xsi:type="dcterms:W3CDTF">2018-07-18T02:11:01Z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