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pacing w:line="600" w:lineRule="exact"/>
        <w:jc w:val="left"/>
        <w:outlineLvl w:val="1"/>
        <w:rPr>
          <w:rFonts w:hint="default" w:ascii="仿宋" w:hAnsi="仿宋" w:eastAsia="仿宋" w:cs="仿宋"/>
          <w:b w:val="0"/>
          <w:bCs w:val="0"/>
          <w:snapToGrid w:val="0"/>
          <w:sz w:val="32"/>
          <w:szCs w:val="32"/>
          <w:lang w:val="en-US" w:eastAsia="zh-CN"/>
        </w:rPr>
      </w:pPr>
      <w:r>
        <w:rPr>
          <w:rFonts w:hint="eastAsia" w:ascii="仿宋" w:hAnsi="仿宋" w:eastAsia="仿宋" w:cs="仿宋"/>
          <w:b w:val="0"/>
          <w:bCs w:val="0"/>
          <w:snapToGrid w:val="0"/>
          <w:sz w:val="32"/>
          <w:szCs w:val="32"/>
          <w:lang w:val="en-US" w:eastAsia="zh-CN"/>
        </w:rPr>
        <w:t>附件1</w:t>
      </w:r>
      <w:bookmarkStart w:id="1" w:name="_GoBack"/>
      <w:bookmarkEnd w:id="1"/>
    </w:p>
    <w:p>
      <w:pPr>
        <w:widowControl w:val="0"/>
        <w:adjustRightInd/>
        <w:spacing w:line="600" w:lineRule="exact"/>
        <w:jc w:val="center"/>
        <w:outlineLvl w:val="1"/>
        <w:rPr>
          <w:rFonts w:hint="eastAsia" w:ascii="Times New Roman" w:hAnsi="Times New Roman" w:eastAsia="黑体"/>
          <w:b/>
          <w:bCs/>
          <w:snapToGrid w:val="0"/>
          <w:sz w:val="36"/>
          <w:szCs w:val="36"/>
        </w:rPr>
      </w:pPr>
    </w:p>
    <w:p>
      <w:pPr>
        <w:widowControl w:val="0"/>
        <w:adjustRightInd/>
        <w:spacing w:line="600" w:lineRule="exact"/>
        <w:jc w:val="center"/>
        <w:outlineLvl w:val="1"/>
        <w:rPr>
          <w:rFonts w:ascii="Times New Roman" w:hAnsi="Times New Roman" w:eastAsia="黑体"/>
          <w:b/>
          <w:bCs/>
          <w:snapToGrid w:val="0"/>
          <w:sz w:val="32"/>
          <w:szCs w:val="32"/>
        </w:rPr>
      </w:pPr>
      <w:r>
        <w:rPr>
          <w:rFonts w:hint="eastAsia" w:ascii="Times New Roman" w:hAnsi="Times New Roman" w:eastAsia="黑体"/>
          <w:b/>
          <w:bCs/>
          <w:snapToGrid w:val="0"/>
          <w:sz w:val="32"/>
          <w:szCs w:val="32"/>
        </w:rPr>
        <w:t>黑龙江省房地产估价机构资信评价实施办法</w:t>
      </w:r>
    </w:p>
    <w:p>
      <w:pPr>
        <w:widowControl w:val="0"/>
        <w:adjustRightInd/>
        <w:spacing w:beforeLines="100" w:afterLines="100" w:line="540" w:lineRule="exact"/>
        <w:ind w:firstLine="3313" w:firstLineChars="1100"/>
        <w:jc w:val="both"/>
        <w:rPr>
          <w:rFonts w:hint="eastAsia" w:ascii="仿宋" w:hAnsi="仿宋" w:eastAsia="仿宋" w:cs="仿宋"/>
          <w:b/>
          <w:bCs/>
          <w:sz w:val="30"/>
          <w:szCs w:val="30"/>
        </w:rPr>
      </w:pPr>
      <w:bookmarkStart w:id="0" w:name="_Toc438126015"/>
      <w:r>
        <w:rPr>
          <w:rFonts w:hint="eastAsia" w:ascii="仿宋" w:hAnsi="仿宋" w:eastAsia="仿宋" w:cs="仿宋"/>
          <w:b/>
          <w:bCs/>
          <w:sz w:val="30"/>
          <w:szCs w:val="30"/>
        </w:rPr>
        <w:t>第一章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总则</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bCs/>
          <w:sz w:val="30"/>
          <w:szCs w:val="30"/>
        </w:rPr>
        <w:t xml:space="preserve">第一条  </w:t>
      </w:r>
      <w:r>
        <w:rPr>
          <w:rFonts w:hint="eastAsia" w:ascii="仿宋" w:hAnsi="仿宋" w:eastAsia="仿宋" w:cs="仿宋"/>
          <w:bCs/>
          <w:sz w:val="30"/>
          <w:szCs w:val="30"/>
        </w:rPr>
        <w:t>为建立健全房地产估价机构会员信用档案，</w:t>
      </w:r>
      <w:r>
        <w:rPr>
          <w:rFonts w:hint="eastAsia" w:ascii="仿宋" w:hAnsi="仿宋" w:eastAsia="仿宋" w:cs="仿宋"/>
          <w:sz w:val="30"/>
          <w:szCs w:val="30"/>
        </w:rPr>
        <w:t>引导房地产估价机构加强自治，提升房地产估价机构执业水平和社会信誉，促进房地产估价行业健康发展，根据《中华人民共和国城市房地产管理法》《中华人民共和国资产评估法》等法律法规，结合本省实际情况，特制定本办法。</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bCs/>
          <w:sz w:val="30"/>
          <w:szCs w:val="30"/>
        </w:rPr>
        <w:t>第二条</w:t>
      </w:r>
      <w:r>
        <w:rPr>
          <w:rFonts w:hint="eastAsia" w:ascii="仿宋" w:hAnsi="仿宋" w:eastAsia="仿宋" w:cs="仿宋"/>
          <w:b/>
          <w:sz w:val="30"/>
          <w:szCs w:val="30"/>
        </w:rPr>
        <w:t xml:space="preserve">  </w:t>
      </w:r>
      <w:r>
        <w:rPr>
          <w:rFonts w:hint="eastAsia" w:ascii="仿宋" w:hAnsi="仿宋" w:eastAsia="仿宋" w:cs="仿宋"/>
          <w:sz w:val="30"/>
          <w:szCs w:val="30"/>
        </w:rPr>
        <w:t>在我省行政辖区工商管理部门注册登记，并向房地产主管部门备案的具有法人资格的</w:t>
      </w:r>
      <w:r>
        <w:rPr>
          <w:rFonts w:hint="eastAsia" w:ascii="仿宋" w:hAnsi="仿宋" w:eastAsia="仿宋" w:cs="仿宋"/>
          <w:bCs/>
          <w:sz w:val="30"/>
          <w:szCs w:val="30"/>
        </w:rPr>
        <w:t>房地产估价机构</w:t>
      </w:r>
      <w:r>
        <w:rPr>
          <w:rFonts w:hint="eastAsia" w:ascii="仿宋" w:hAnsi="仿宋" w:eastAsia="仿宋" w:cs="仿宋"/>
          <w:sz w:val="30"/>
          <w:szCs w:val="30"/>
        </w:rPr>
        <w:t>（含外埠进驻的）</w:t>
      </w:r>
      <w:r>
        <w:rPr>
          <w:rFonts w:hint="eastAsia" w:ascii="仿宋" w:hAnsi="仿宋" w:eastAsia="仿宋" w:cs="仿宋"/>
          <w:bCs/>
          <w:sz w:val="30"/>
          <w:szCs w:val="30"/>
        </w:rPr>
        <w:t>进行资信评价，适用本办法。</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第三条</w:t>
      </w:r>
      <w:r>
        <w:rPr>
          <w:rFonts w:hint="eastAsia" w:ascii="仿宋" w:hAnsi="仿宋" w:eastAsia="仿宋" w:cs="仿宋"/>
          <w:b/>
          <w:bCs/>
          <w:sz w:val="30"/>
          <w:szCs w:val="30"/>
        </w:rPr>
        <w:t xml:space="preserve">  </w:t>
      </w:r>
      <w:r>
        <w:rPr>
          <w:rFonts w:hint="eastAsia" w:ascii="仿宋" w:hAnsi="仿宋" w:eastAsia="仿宋" w:cs="仿宋"/>
          <w:sz w:val="30"/>
          <w:szCs w:val="30"/>
        </w:rPr>
        <w:t>本办法所称资信评价，是指对估价机构的能力、信用等开展检查、评分并确定资信等级的活动。</w:t>
      </w:r>
    </w:p>
    <w:p>
      <w:pPr>
        <w:widowControl w:val="0"/>
        <w:adjustRightInd/>
        <w:spacing w:line="560" w:lineRule="exact"/>
        <w:ind w:firstLine="602" w:firstLineChars="200"/>
        <w:jc w:val="both"/>
        <w:rPr>
          <w:rFonts w:hint="eastAsia" w:ascii="仿宋" w:hAnsi="仿宋" w:eastAsia="仿宋" w:cs="仿宋"/>
          <w:bCs/>
          <w:sz w:val="30"/>
          <w:szCs w:val="30"/>
        </w:rPr>
      </w:pPr>
      <w:r>
        <w:rPr>
          <w:rFonts w:hint="eastAsia" w:ascii="仿宋" w:hAnsi="仿宋" w:eastAsia="仿宋" w:cs="仿宋"/>
          <w:b/>
          <w:sz w:val="30"/>
          <w:szCs w:val="30"/>
        </w:rPr>
        <w:t>第四条</w:t>
      </w:r>
      <w:r>
        <w:rPr>
          <w:rFonts w:hint="eastAsia" w:ascii="仿宋" w:hAnsi="仿宋" w:eastAsia="仿宋" w:cs="仿宋"/>
          <w:b/>
          <w:bCs/>
          <w:sz w:val="30"/>
          <w:szCs w:val="30"/>
        </w:rPr>
        <w:t xml:space="preserve"> </w:t>
      </w:r>
      <w:r>
        <w:rPr>
          <w:rFonts w:hint="eastAsia" w:ascii="仿宋" w:hAnsi="仿宋" w:eastAsia="仿宋" w:cs="仿宋"/>
          <w:bCs/>
          <w:sz w:val="30"/>
          <w:szCs w:val="30"/>
        </w:rPr>
        <w:t>黑龙江省房地产业协会（以下简称省房协）负责制定统一资信评价标准 ，建立统一的资信评价系统，制定统一的资信证书式样，对资信评价工作进行指导和检查。省房协依据本办法组织实施本行政区域内估价机构的资信评价工作。</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第五条  </w:t>
      </w:r>
      <w:r>
        <w:rPr>
          <w:rFonts w:hint="eastAsia" w:ascii="仿宋" w:hAnsi="仿宋" w:eastAsia="仿宋" w:cs="仿宋"/>
          <w:sz w:val="30"/>
          <w:szCs w:val="30"/>
        </w:rPr>
        <w:t>资信评价工作应当遵循公开、公平、公正的原则，实行统一资信评价标准、统一资信评价系统、统一资信证书样式。</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第六条  </w:t>
      </w:r>
      <w:r>
        <w:rPr>
          <w:rFonts w:hint="eastAsia" w:ascii="仿宋" w:hAnsi="仿宋" w:eastAsia="仿宋" w:cs="仿宋"/>
          <w:sz w:val="30"/>
          <w:szCs w:val="30"/>
        </w:rPr>
        <w:t>评估机构填写参加资信评价的承诺书。根据资信评价情况确定资信等级。</w:t>
      </w:r>
    </w:p>
    <w:p>
      <w:pPr>
        <w:widowControl w:val="0"/>
        <w:adjustRightInd/>
        <w:spacing w:beforeLines="100" w:afterLines="100" w:line="560" w:lineRule="exact"/>
        <w:jc w:val="center"/>
        <w:rPr>
          <w:rFonts w:hint="eastAsia" w:ascii="仿宋" w:hAnsi="仿宋" w:eastAsia="仿宋" w:cs="仿宋"/>
          <w:b/>
          <w:bCs/>
          <w:sz w:val="30"/>
          <w:szCs w:val="30"/>
        </w:rPr>
      </w:pPr>
      <w:r>
        <w:rPr>
          <w:rFonts w:hint="eastAsia" w:ascii="仿宋" w:hAnsi="仿宋" w:eastAsia="仿宋" w:cs="仿宋"/>
          <w:b/>
          <w:bCs/>
          <w:sz w:val="30"/>
          <w:szCs w:val="30"/>
        </w:rPr>
        <w:t>第二章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资信等级</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第七条  </w:t>
      </w:r>
      <w:r>
        <w:rPr>
          <w:rFonts w:hint="eastAsia" w:ascii="仿宋" w:hAnsi="仿宋" w:eastAsia="仿宋" w:cs="仿宋"/>
          <w:sz w:val="30"/>
          <w:szCs w:val="30"/>
        </w:rPr>
        <w:t>估价机构资信分为四个等级，由高至低依次为AAA级、AA级、A级、B级。</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第八条  </w:t>
      </w:r>
      <w:r>
        <w:rPr>
          <w:rFonts w:hint="eastAsia" w:ascii="仿宋" w:hAnsi="仿宋" w:eastAsia="仿宋" w:cs="仿宋"/>
          <w:sz w:val="30"/>
          <w:szCs w:val="30"/>
        </w:rPr>
        <w:t>取得AAA级资信的估价机构，表明资信好，综合实力强，能胜任规模大、难度高的各类房地产估价业务；</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取得AA级资信的估价机构，表明资信较好，综合实力较强，能胜任规模较大、难度较高的房地产估价业务；</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取得A级资信的估价机构，表明具有一定的资信和实力，能胜任一定规模、一般难度的房地产估价业务。</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取得B级的估价机构表现信用较差，原则上不能胜任一般难度的房地产估价业务。</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第九条  </w:t>
      </w:r>
      <w:r>
        <w:rPr>
          <w:rFonts w:hint="eastAsia" w:ascii="仿宋" w:hAnsi="仿宋" w:eastAsia="仿宋" w:cs="仿宋"/>
          <w:sz w:val="30"/>
          <w:szCs w:val="30"/>
        </w:rPr>
        <w:t>各资信等级的估价机构应当具备下列基本条件：</w:t>
      </w:r>
    </w:p>
    <w:p>
      <w:pPr>
        <w:widowControl w:val="0"/>
        <w:numPr>
          <w:ilvl w:val="0"/>
          <w:numId w:val="1"/>
        </w:numPr>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依法设立并向房地产估价行业主管部门备案；</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（二）估价机构及其实际控制人或者法定代表人、执行合伙人、主要负责人近三年无重大违法违规和重大失信记录；</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（三）接受省房协自律管理。</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第十条  </w:t>
      </w:r>
      <w:r>
        <w:rPr>
          <w:rFonts w:hint="eastAsia" w:ascii="仿宋" w:hAnsi="仿宋" w:eastAsia="仿宋" w:cs="仿宋"/>
          <w:sz w:val="30"/>
          <w:szCs w:val="30"/>
        </w:rPr>
        <w:t>不同资信等级的估价机构除应当具备第九条基本条件外，还应当具备下列条件：</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（一）AAA级</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1．从事房地产估价活动连续6年以上（含，下同）；</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2．资信评价得分90分以上（含，下同）。</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（二）AA级</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1．从事房地产估价活动连续4年以上；</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2．资信评价得分75分以上。</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（三）A级</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1．从事房地产估价活动1年以上；</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2．资信评价得分60分以上</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（四）B级</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1 .新成立的公司，从事房地产估价活动不满1年；</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2 .资信评价得分60分以下。</w:t>
      </w:r>
    </w:p>
    <w:p>
      <w:pPr>
        <w:widowControl w:val="0"/>
        <w:adjustRightInd/>
        <w:spacing w:line="560" w:lineRule="exact"/>
        <w:ind w:firstLine="602" w:firstLineChars="200"/>
        <w:jc w:val="both"/>
        <w:rPr>
          <w:rFonts w:hint="eastAsia" w:ascii="仿宋" w:hAnsi="仿宋" w:eastAsia="仿宋" w:cs="仿宋"/>
          <w:bCs/>
          <w:sz w:val="30"/>
          <w:szCs w:val="30"/>
        </w:rPr>
      </w:pPr>
      <w:r>
        <w:rPr>
          <w:rFonts w:hint="eastAsia" w:ascii="仿宋" w:hAnsi="仿宋" w:eastAsia="仿宋" w:cs="仿宋"/>
          <w:b/>
          <w:sz w:val="30"/>
          <w:szCs w:val="30"/>
        </w:rPr>
        <w:t>第十一条</w:t>
      </w:r>
      <w:r>
        <w:rPr>
          <w:rFonts w:hint="eastAsia" w:ascii="仿宋" w:hAnsi="仿宋" w:eastAsia="仿宋" w:cs="仿宋"/>
          <w:b/>
          <w:bCs/>
          <w:sz w:val="30"/>
          <w:szCs w:val="30"/>
        </w:rPr>
        <w:t xml:space="preserve">  </w:t>
      </w:r>
      <w:r>
        <w:rPr>
          <w:rFonts w:hint="eastAsia" w:ascii="仿宋" w:hAnsi="仿宋" w:eastAsia="仿宋" w:cs="仿宋"/>
          <w:bCs/>
          <w:sz w:val="30"/>
          <w:szCs w:val="30"/>
        </w:rPr>
        <w:t>有下列情形之一的估价机构，无资信等级：</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（一）未达到本办法第九条基本条件的；</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bCs/>
          <w:sz w:val="30"/>
          <w:szCs w:val="30"/>
        </w:rPr>
        <w:t>（二）</w:t>
      </w:r>
      <w:r>
        <w:rPr>
          <w:rFonts w:hint="eastAsia" w:ascii="仿宋" w:hAnsi="仿宋" w:eastAsia="仿宋" w:cs="仿宋"/>
          <w:sz w:val="30"/>
          <w:szCs w:val="30"/>
        </w:rPr>
        <w:t>被撤销资信等级的；</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bCs/>
          <w:sz w:val="30"/>
          <w:szCs w:val="30"/>
        </w:rPr>
        <w:t>未申请资信评价的</w:t>
      </w:r>
      <w:r>
        <w:rPr>
          <w:rFonts w:hint="eastAsia" w:ascii="仿宋" w:hAnsi="仿宋" w:eastAsia="仿宋" w:cs="仿宋"/>
          <w:sz w:val="30"/>
          <w:szCs w:val="30"/>
        </w:rPr>
        <w:t>。</w:t>
      </w:r>
    </w:p>
    <w:p>
      <w:pPr>
        <w:widowControl w:val="0"/>
        <w:adjustRightInd/>
        <w:spacing w:beforeLines="100" w:afterLines="100" w:line="560" w:lineRule="exact"/>
        <w:jc w:val="center"/>
        <w:rPr>
          <w:rFonts w:hint="eastAsia" w:ascii="仿宋" w:hAnsi="仿宋" w:eastAsia="仿宋" w:cs="仿宋"/>
          <w:b/>
          <w:bCs/>
          <w:sz w:val="30"/>
          <w:szCs w:val="30"/>
        </w:rPr>
      </w:pPr>
      <w:r>
        <w:rPr>
          <w:rFonts w:hint="eastAsia" w:ascii="仿宋" w:hAnsi="仿宋" w:eastAsia="仿宋" w:cs="仿宋"/>
          <w:b/>
          <w:bCs/>
          <w:sz w:val="30"/>
          <w:szCs w:val="30"/>
        </w:rPr>
        <w:t>第三章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资信评价指标</w:t>
      </w:r>
    </w:p>
    <w:p>
      <w:pPr>
        <w:widowControl w:val="0"/>
        <w:adjustRightInd/>
        <w:spacing w:beforeLines="50" w:afterLines="50" w:line="560" w:lineRule="exact"/>
        <w:ind w:firstLine="602" w:firstLineChars="200"/>
        <w:jc w:val="both"/>
        <w:rPr>
          <w:rFonts w:hint="eastAsia" w:ascii="仿宋" w:hAnsi="仿宋" w:eastAsia="仿宋" w:cs="仿宋"/>
          <w:bCs/>
          <w:sz w:val="30"/>
          <w:szCs w:val="30"/>
        </w:rPr>
      </w:pPr>
      <w:r>
        <w:rPr>
          <w:rFonts w:hint="eastAsia" w:ascii="仿宋" w:hAnsi="仿宋" w:eastAsia="仿宋" w:cs="仿宋"/>
          <w:b/>
          <w:bCs/>
          <w:sz w:val="30"/>
          <w:szCs w:val="30"/>
        </w:rPr>
        <w:t xml:space="preserve">第十二条  </w:t>
      </w:r>
      <w:r>
        <w:rPr>
          <w:rFonts w:hint="eastAsia" w:ascii="仿宋" w:hAnsi="仿宋" w:eastAsia="仿宋" w:cs="仿宋"/>
          <w:bCs/>
          <w:sz w:val="30"/>
          <w:szCs w:val="30"/>
        </w:rPr>
        <w:t>资信评价指标体系包括基础能力、执业质量、公平竞争、效益规模、行业影响等五大类指标。</w:t>
      </w:r>
    </w:p>
    <w:p>
      <w:pPr>
        <w:widowControl w:val="0"/>
        <w:adjustRightInd/>
        <w:spacing w:beforeLines="50" w:afterLines="50" w:line="560" w:lineRule="exact"/>
        <w:ind w:firstLine="602" w:firstLineChars="200"/>
        <w:jc w:val="both"/>
        <w:rPr>
          <w:rFonts w:hint="eastAsia" w:ascii="仿宋" w:hAnsi="仿宋" w:eastAsia="仿宋" w:cs="仿宋"/>
          <w:bCs/>
          <w:sz w:val="30"/>
          <w:szCs w:val="30"/>
        </w:rPr>
      </w:pPr>
      <w:r>
        <w:rPr>
          <w:rFonts w:hint="eastAsia" w:ascii="仿宋" w:hAnsi="仿宋" w:eastAsia="仿宋" w:cs="仿宋"/>
          <w:b/>
          <w:bCs/>
          <w:sz w:val="30"/>
          <w:szCs w:val="30"/>
        </w:rPr>
        <w:t xml:space="preserve">第十三条  </w:t>
      </w:r>
      <w:r>
        <w:rPr>
          <w:rFonts w:hint="eastAsia" w:ascii="仿宋" w:hAnsi="仿宋" w:eastAsia="仿宋" w:cs="仿宋"/>
          <w:bCs/>
          <w:sz w:val="30"/>
          <w:szCs w:val="30"/>
        </w:rPr>
        <w:t>基础能力类指标反映估价机构的基础条件和基本实力情况，包括注册房地产估价师人数、数据资料档案、内部管理制度、分支机构管理、从业年限、办公条件、注册资本等指标。</w:t>
      </w:r>
    </w:p>
    <w:p>
      <w:pPr>
        <w:widowControl w:val="0"/>
        <w:adjustRightInd/>
        <w:spacing w:beforeLines="50" w:afterLines="50" w:line="560" w:lineRule="exact"/>
        <w:ind w:firstLine="602" w:firstLineChars="200"/>
        <w:jc w:val="both"/>
        <w:rPr>
          <w:rFonts w:hint="eastAsia" w:ascii="仿宋" w:hAnsi="仿宋" w:eastAsia="仿宋" w:cs="仿宋"/>
          <w:b/>
          <w:bCs/>
          <w:sz w:val="30"/>
          <w:szCs w:val="30"/>
        </w:rPr>
      </w:pPr>
      <w:r>
        <w:rPr>
          <w:rFonts w:hint="eastAsia" w:ascii="仿宋" w:hAnsi="仿宋" w:eastAsia="仿宋" w:cs="仿宋"/>
          <w:b/>
          <w:bCs/>
          <w:sz w:val="30"/>
          <w:szCs w:val="30"/>
        </w:rPr>
        <w:t xml:space="preserve">第十四条  </w:t>
      </w:r>
      <w:r>
        <w:rPr>
          <w:rFonts w:hint="eastAsia" w:ascii="仿宋" w:hAnsi="仿宋" w:eastAsia="仿宋" w:cs="仿宋"/>
          <w:bCs/>
          <w:sz w:val="30"/>
          <w:szCs w:val="30"/>
        </w:rPr>
        <w:t>执业质量类指标反映估价机构出具的房地产估价报告（以下称估价报告）质量情况，根据估价报告评审等情况确定得分。</w:t>
      </w:r>
    </w:p>
    <w:p>
      <w:pPr>
        <w:widowControl w:val="0"/>
        <w:adjustRightInd/>
        <w:spacing w:beforeLines="50" w:afterLines="50" w:line="560" w:lineRule="exact"/>
        <w:ind w:firstLine="602" w:firstLineChars="200"/>
        <w:jc w:val="both"/>
        <w:rPr>
          <w:rFonts w:hint="eastAsia" w:ascii="仿宋" w:hAnsi="仿宋" w:eastAsia="仿宋" w:cs="仿宋"/>
          <w:b/>
          <w:bCs/>
          <w:sz w:val="30"/>
          <w:szCs w:val="30"/>
        </w:rPr>
      </w:pPr>
      <w:r>
        <w:rPr>
          <w:rFonts w:hint="eastAsia" w:ascii="仿宋" w:hAnsi="仿宋" w:eastAsia="仿宋" w:cs="仿宋"/>
          <w:b/>
          <w:bCs/>
          <w:sz w:val="30"/>
          <w:szCs w:val="30"/>
        </w:rPr>
        <w:t xml:space="preserve">第十五条  </w:t>
      </w:r>
      <w:r>
        <w:rPr>
          <w:rFonts w:hint="eastAsia" w:ascii="仿宋" w:hAnsi="仿宋" w:eastAsia="仿宋" w:cs="仿宋"/>
          <w:bCs/>
          <w:sz w:val="30"/>
          <w:szCs w:val="30"/>
        </w:rPr>
        <w:t>公平竞争类指标反映估价机构的估价服务收费和维护估价市场秩序情况，包括制定收费标准、收费标准合理、收费标准公示、收费标准执行、市场竞争行为等指标。</w:t>
      </w:r>
    </w:p>
    <w:p>
      <w:pPr>
        <w:widowControl w:val="0"/>
        <w:adjustRightInd/>
        <w:spacing w:beforeLines="50" w:afterLines="50" w:line="560" w:lineRule="exact"/>
        <w:ind w:firstLine="482"/>
        <w:jc w:val="both"/>
        <w:rPr>
          <w:rFonts w:hint="eastAsia" w:ascii="仿宋" w:hAnsi="仿宋" w:eastAsia="仿宋" w:cs="仿宋"/>
          <w:b/>
          <w:bCs/>
          <w:sz w:val="30"/>
          <w:szCs w:val="30"/>
        </w:rPr>
      </w:pPr>
      <w:r>
        <w:rPr>
          <w:rFonts w:hint="eastAsia" w:ascii="仿宋" w:hAnsi="仿宋" w:eastAsia="仿宋" w:cs="仿宋"/>
          <w:b/>
          <w:bCs/>
          <w:sz w:val="30"/>
          <w:szCs w:val="30"/>
        </w:rPr>
        <w:t xml:space="preserve">第十六条  </w:t>
      </w:r>
      <w:r>
        <w:rPr>
          <w:rFonts w:hint="eastAsia" w:ascii="仿宋" w:hAnsi="仿宋" w:eastAsia="仿宋" w:cs="仿宋"/>
          <w:bCs/>
          <w:sz w:val="30"/>
          <w:szCs w:val="30"/>
        </w:rPr>
        <w:t>效益规模类指标反映估价机构的估价效果情况，评估建筑面积、评估土地面积、评估总价值。</w:t>
      </w:r>
    </w:p>
    <w:p>
      <w:pPr>
        <w:widowControl w:val="0"/>
        <w:adjustRightInd/>
        <w:spacing w:beforeLines="50" w:afterLines="50" w:line="560" w:lineRule="exact"/>
        <w:ind w:firstLine="482"/>
        <w:jc w:val="both"/>
        <w:rPr>
          <w:rFonts w:hint="eastAsia" w:ascii="仿宋" w:hAnsi="仿宋" w:eastAsia="仿宋" w:cs="仿宋"/>
          <w:bCs/>
          <w:sz w:val="30"/>
          <w:szCs w:val="30"/>
        </w:rPr>
      </w:pPr>
      <w:r>
        <w:rPr>
          <w:rFonts w:hint="eastAsia" w:ascii="仿宋" w:hAnsi="仿宋" w:eastAsia="仿宋" w:cs="仿宋"/>
          <w:b/>
          <w:bCs/>
          <w:sz w:val="30"/>
          <w:szCs w:val="30"/>
        </w:rPr>
        <w:t xml:space="preserve">第十七条  </w:t>
      </w:r>
      <w:r>
        <w:rPr>
          <w:rFonts w:hint="eastAsia" w:ascii="仿宋" w:hAnsi="仿宋" w:eastAsia="仿宋" w:cs="仿宋"/>
          <w:bCs/>
          <w:sz w:val="30"/>
          <w:szCs w:val="30"/>
        </w:rPr>
        <w:t>行业影响类指标反映估价机构的行业活动参与情况，包括加入行业组织、行业组织任职。</w:t>
      </w:r>
    </w:p>
    <w:p>
      <w:pPr>
        <w:widowControl w:val="0"/>
        <w:adjustRightInd/>
        <w:spacing w:beforeLines="50" w:afterLines="50" w:line="560" w:lineRule="exact"/>
        <w:ind w:firstLine="480"/>
        <w:jc w:val="both"/>
        <w:rPr>
          <w:rFonts w:hint="eastAsia" w:ascii="仿宋" w:hAnsi="仿宋" w:eastAsia="仿宋" w:cs="仿宋"/>
          <w:bCs/>
          <w:sz w:val="30"/>
          <w:szCs w:val="30"/>
        </w:rPr>
      </w:pPr>
      <w:r>
        <w:rPr>
          <w:rFonts w:hint="eastAsia" w:ascii="仿宋" w:hAnsi="仿宋" w:eastAsia="仿宋" w:cs="仿宋"/>
          <w:b/>
          <w:bCs/>
          <w:sz w:val="30"/>
          <w:szCs w:val="30"/>
        </w:rPr>
        <w:t xml:space="preserve">第十八条  </w:t>
      </w:r>
      <w:r>
        <w:rPr>
          <w:rFonts w:hint="eastAsia" w:ascii="仿宋" w:hAnsi="仿宋" w:eastAsia="仿宋" w:cs="仿宋"/>
          <w:bCs/>
          <w:sz w:val="30"/>
          <w:szCs w:val="30"/>
        </w:rPr>
        <w:t>在五大类指标之外，估价机构有《房地产估价机构资信评价表》加分项或者减分项所列情形的，视具体情况给予适当加分或者减分。</w:t>
      </w:r>
    </w:p>
    <w:p>
      <w:pPr>
        <w:widowControl w:val="0"/>
        <w:adjustRightInd/>
        <w:spacing w:beforeLines="100" w:afterLines="100" w:line="560" w:lineRule="exact"/>
        <w:jc w:val="center"/>
        <w:rPr>
          <w:rFonts w:hint="eastAsia" w:ascii="仿宋" w:hAnsi="仿宋" w:eastAsia="仿宋" w:cs="仿宋"/>
          <w:b/>
          <w:bCs/>
          <w:sz w:val="30"/>
          <w:szCs w:val="30"/>
        </w:rPr>
      </w:pPr>
      <w:r>
        <w:rPr>
          <w:rFonts w:hint="eastAsia" w:ascii="仿宋" w:hAnsi="仿宋" w:eastAsia="仿宋" w:cs="仿宋"/>
          <w:b/>
          <w:bCs/>
          <w:sz w:val="30"/>
          <w:szCs w:val="30"/>
        </w:rPr>
        <w:t>第四章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资信评价程序</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第十九条  </w:t>
      </w:r>
      <w:r>
        <w:rPr>
          <w:rFonts w:hint="eastAsia" w:ascii="仿宋" w:hAnsi="仿宋" w:eastAsia="仿宋" w:cs="仿宋"/>
          <w:sz w:val="30"/>
          <w:szCs w:val="30"/>
        </w:rPr>
        <w:t>资信评价工作按照申请、受理、评审、公示、公布、发证的程序进行。</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第二十条  </w:t>
      </w:r>
      <w:r>
        <w:rPr>
          <w:rFonts w:hint="eastAsia" w:ascii="仿宋" w:hAnsi="仿宋" w:eastAsia="仿宋" w:cs="仿宋"/>
          <w:sz w:val="30"/>
          <w:szCs w:val="30"/>
        </w:rPr>
        <w:t>估价机构申请资信评价的，通过统一的资信评价系统填写承诺书和相关申请材料（以下称申请材料）。</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第二十一条  </w:t>
      </w:r>
      <w:r>
        <w:rPr>
          <w:rFonts w:hint="eastAsia" w:ascii="仿宋" w:hAnsi="仿宋" w:eastAsia="仿宋" w:cs="仿宋"/>
          <w:bCs/>
          <w:sz w:val="30"/>
          <w:szCs w:val="30"/>
        </w:rPr>
        <w:t>省房协通过统一资信评价系统受理资信评价，</w:t>
      </w:r>
      <w:r>
        <w:rPr>
          <w:rFonts w:hint="eastAsia" w:ascii="仿宋" w:hAnsi="仿宋" w:eastAsia="仿宋" w:cs="仿宋"/>
          <w:sz w:val="30"/>
          <w:szCs w:val="30"/>
        </w:rPr>
        <w:t>对申请材料齐全且符合要求的，应当予以受理；对申请材料不齐全或者不符合要求的，一次性指出存在的问题，要求申请机构在5个工作日内补正，逾期未补正的，不予受理。</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第二十二条  </w:t>
      </w:r>
      <w:r>
        <w:rPr>
          <w:rFonts w:hint="eastAsia" w:ascii="仿宋" w:hAnsi="仿宋" w:eastAsia="仿宋" w:cs="仿宋"/>
          <w:bCs/>
          <w:sz w:val="30"/>
          <w:szCs w:val="30"/>
        </w:rPr>
        <w:t>省房协</w:t>
      </w:r>
      <w:r>
        <w:rPr>
          <w:rFonts w:hint="eastAsia" w:ascii="仿宋" w:hAnsi="仿宋" w:eastAsia="仿宋" w:cs="仿宋"/>
          <w:sz w:val="30"/>
          <w:szCs w:val="30"/>
        </w:rPr>
        <w:t>依照本办法对申请材料进行审核，并根据《房地产估价机构资信评价表》，估价报告评审等情况形成资信初评结果。</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第二十三条  </w:t>
      </w:r>
      <w:r>
        <w:rPr>
          <w:rFonts w:hint="eastAsia" w:ascii="仿宋" w:hAnsi="仿宋" w:eastAsia="仿宋" w:cs="仿宋"/>
          <w:bCs/>
          <w:sz w:val="30"/>
          <w:szCs w:val="30"/>
        </w:rPr>
        <w:t xml:space="preserve"> 省房协应当</w:t>
      </w:r>
      <w:r>
        <w:rPr>
          <w:rFonts w:hint="eastAsia" w:ascii="仿宋" w:hAnsi="仿宋" w:eastAsia="仿宋" w:cs="仿宋"/>
          <w:sz w:val="30"/>
          <w:szCs w:val="30"/>
        </w:rPr>
        <w:t>将资信初评结果在其网站及统一的资信评价系统上公示。公示期为7日。</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第二十四条  </w:t>
      </w:r>
      <w:r>
        <w:rPr>
          <w:rFonts w:hint="eastAsia" w:ascii="仿宋" w:hAnsi="仿宋" w:eastAsia="仿宋" w:cs="仿宋"/>
          <w:sz w:val="30"/>
          <w:szCs w:val="30"/>
        </w:rPr>
        <w:t>初评结果公示期间收到有关单位和个人对公示内容提出异议的，由资信评价组织实施单位（以下称评价实施单位）受理、调查核实，并向异议人反馈处理结果。</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第二十五条  </w:t>
      </w:r>
      <w:r>
        <w:rPr>
          <w:rFonts w:hint="eastAsia" w:ascii="仿宋" w:hAnsi="仿宋" w:eastAsia="仿宋" w:cs="仿宋"/>
          <w:sz w:val="30"/>
          <w:szCs w:val="30"/>
        </w:rPr>
        <w:t>资信初评结果公示期满无异议的，资信初评结果即为资信评价结果。公示期间有异议的，根据调查处理情况确定资信评价结果。</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第二十六条</w:t>
      </w:r>
      <w:r>
        <w:rPr>
          <w:rFonts w:hint="eastAsia" w:ascii="仿宋" w:hAnsi="仿宋" w:eastAsia="仿宋" w:cs="仿宋"/>
          <w:b/>
          <w:bCs/>
          <w:sz w:val="30"/>
          <w:szCs w:val="30"/>
        </w:rPr>
        <w:t xml:space="preserve">  </w:t>
      </w:r>
      <w:r>
        <w:rPr>
          <w:rFonts w:hint="eastAsia" w:ascii="仿宋" w:hAnsi="仿宋" w:eastAsia="仿宋" w:cs="仿宋"/>
          <w:bCs/>
          <w:sz w:val="30"/>
          <w:szCs w:val="30"/>
        </w:rPr>
        <w:t>资信评价结果通过统一的</w:t>
      </w:r>
      <w:r>
        <w:rPr>
          <w:rFonts w:hint="eastAsia" w:ascii="仿宋" w:hAnsi="仿宋" w:eastAsia="仿宋" w:cs="仿宋"/>
          <w:sz w:val="30"/>
          <w:szCs w:val="30"/>
        </w:rPr>
        <w:t>资信评价系统、向社会公布，颁发资信证书，供相关单位和个人选择估价机构时参考。</w:t>
      </w:r>
    </w:p>
    <w:p>
      <w:pPr>
        <w:widowControl w:val="0"/>
        <w:adjustRightInd/>
        <w:spacing w:line="560" w:lineRule="exact"/>
        <w:ind w:firstLine="602" w:firstLineChars="200"/>
        <w:jc w:val="both"/>
        <w:rPr>
          <w:rFonts w:hint="eastAsia" w:ascii="仿宋" w:hAnsi="仿宋" w:eastAsia="仿宋" w:cs="仿宋"/>
          <w:bCs/>
          <w:sz w:val="30"/>
          <w:szCs w:val="30"/>
        </w:rPr>
      </w:pPr>
      <w:r>
        <w:rPr>
          <w:rFonts w:hint="eastAsia" w:ascii="仿宋" w:hAnsi="仿宋" w:eastAsia="仿宋" w:cs="仿宋"/>
          <w:b/>
          <w:bCs/>
          <w:sz w:val="30"/>
          <w:szCs w:val="30"/>
        </w:rPr>
        <w:t xml:space="preserve">第二十七条  </w:t>
      </w:r>
      <w:r>
        <w:rPr>
          <w:rFonts w:hint="eastAsia" w:ascii="仿宋" w:hAnsi="仿宋" w:eastAsia="仿宋" w:cs="仿宋"/>
          <w:bCs/>
          <w:sz w:val="30"/>
          <w:szCs w:val="30"/>
        </w:rPr>
        <w:t>资信证书由省房协组织印制。</w:t>
      </w:r>
    </w:p>
    <w:p>
      <w:pPr>
        <w:widowControl w:val="0"/>
        <w:adjustRightInd/>
        <w:spacing w:line="560" w:lineRule="exact"/>
        <w:ind w:firstLine="602" w:firstLineChars="200"/>
        <w:jc w:val="both"/>
        <w:rPr>
          <w:rFonts w:hint="eastAsia" w:ascii="仿宋" w:hAnsi="仿宋" w:eastAsia="仿宋" w:cs="仿宋"/>
          <w:bCs/>
          <w:sz w:val="30"/>
          <w:szCs w:val="30"/>
        </w:rPr>
      </w:pPr>
      <w:r>
        <w:rPr>
          <w:rFonts w:hint="eastAsia" w:ascii="仿宋" w:hAnsi="仿宋" w:eastAsia="仿宋" w:cs="仿宋"/>
          <w:b/>
          <w:bCs/>
          <w:sz w:val="30"/>
          <w:szCs w:val="30"/>
        </w:rPr>
        <w:t xml:space="preserve">第二十八条  </w:t>
      </w:r>
      <w:r>
        <w:rPr>
          <w:rFonts w:hint="eastAsia" w:ascii="仿宋" w:hAnsi="仿宋" w:eastAsia="仿宋" w:cs="仿宋"/>
          <w:bCs/>
          <w:sz w:val="30"/>
          <w:szCs w:val="30"/>
        </w:rPr>
        <w:t>遗失资信证书的，可以向省房协申请补办。</w:t>
      </w:r>
    </w:p>
    <w:p>
      <w:pPr>
        <w:widowControl w:val="0"/>
        <w:adjustRightInd/>
        <w:spacing w:beforeLines="100" w:afterLines="100" w:line="560" w:lineRule="exact"/>
        <w:jc w:val="center"/>
        <w:rPr>
          <w:rFonts w:hint="eastAsia" w:ascii="仿宋" w:hAnsi="仿宋" w:eastAsia="仿宋" w:cs="仿宋"/>
          <w:b/>
          <w:bCs/>
          <w:sz w:val="30"/>
          <w:szCs w:val="30"/>
        </w:rPr>
      </w:pPr>
      <w:r>
        <w:rPr>
          <w:rFonts w:hint="eastAsia" w:ascii="仿宋" w:hAnsi="仿宋" w:eastAsia="仿宋" w:cs="仿宋"/>
          <w:b/>
          <w:bCs/>
          <w:sz w:val="30"/>
          <w:szCs w:val="30"/>
        </w:rPr>
        <w:t>第五章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资信评价实施</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bCs/>
          <w:sz w:val="30"/>
          <w:szCs w:val="30"/>
        </w:rPr>
        <w:t xml:space="preserve">第二十九条  </w:t>
      </w:r>
      <w:r>
        <w:rPr>
          <w:rFonts w:hint="eastAsia" w:ascii="仿宋" w:hAnsi="仿宋" w:eastAsia="仿宋" w:cs="仿宋"/>
          <w:sz w:val="30"/>
          <w:szCs w:val="30"/>
        </w:rPr>
        <w:t>资信评价工作每年开展一次。</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每次资信评价工作自发布开展资信评价通知之日起至公告资信评价结果之日止，不超过60日。</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bCs/>
          <w:sz w:val="30"/>
          <w:szCs w:val="30"/>
        </w:rPr>
        <w:t xml:space="preserve">第三十条  </w:t>
      </w:r>
      <w:r>
        <w:rPr>
          <w:rFonts w:hint="eastAsia" w:ascii="仿宋" w:hAnsi="仿宋" w:eastAsia="仿宋" w:cs="仿宋"/>
          <w:bCs/>
          <w:sz w:val="30"/>
          <w:szCs w:val="30"/>
        </w:rPr>
        <w:t>估价机构</w:t>
      </w:r>
      <w:r>
        <w:rPr>
          <w:rFonts w:hint="eastAsia" w:ascii="仿宋" w:hAnsi="仿宋" w:eastAsia="仿宋" w:cs="仿宋"/>
          <w:sz w:val="30"/>
          <w:szCs w:val="30"/>
        </w:rPr>
        <w:t>资信有效期为3年。</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资信等级实行动态管理，对已取得资信等级的机构每年进行一次复核。估价机构在资信有效期间发生本办法第三十八条、第三十九条规定情形的，可以对其资信等级予以降级或者撤销其资信等级。</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第三十一条  </w:t>
      </w:r>
      <w:r>
        <w:rPr>
          <w:rFonts w:hint="eastAsia" w:ascii="仿宋" w:hAnsi="仿宋" w:eastAsia="仿宋" w:cs="仿宋"/>
          <w:sz w:val="30"/>
          <w:szCs w:val="30"/>
        </w:rPr>
        <w:t>省房协设立资信评价委员会，依据本办法组织开展资信评价工作。资信评价委员会由房地产估价行业和相关行业的专家组成，具体人员组成、任期、工作规则由省房协组织确定。</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资信评价委员会履行下列职责：</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（一）制定资信评价工作实施方案；</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（二）组织成立资信评价小组开展资信评价工作；</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（三）形成资信初评结果；</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（四）调查处理资信评价公示异议；</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（五）提出降低或者撤销资信等级的建议。</w:t>
      </w:r>
    </w:p>
    <w:p>
      <w:pPr>
        <w:widowControl w:val="0"/>
        <w:adjustRightInd/>
        <w:spacing w:line="560" w:lineRule="exact"/>
        <w:ind w:firstLine="602" w:firstLineChars="200"/>
        <w:jc w:val="both"/>
        <w:rPr>
          <w:rFonts w:hint="eastAsia" w:ascii="仿宋" w:hAnsi="仿宋" w:eastAsia="仿宋" w:cs="仿宋"/>
          <w:bCs/>
          <w:sz w:val="30"/>
          <w:szCs w:val="30"/>
        </w:rPr>
      </w:pPr>
      <w:r>
        <w:rPr>
          <w:rFonts w:hint="eastAsia" w:ascii="仿宋" w:hAnsi="仿宋" w:eastAsia="仿宋" w:cs="仿宋"/>
          <w:b/>
          <w:bCs/>
          <w:sz w:val="30"/>
          <w:szCs w:val="30"/>
        </w:rPr>
        <w:t xml:space="preserve">第三十二条  </w:t>
      </w:r>
      <w:r>
        <w:rPr>
          <w:rFonts w:hint="eastAsia" w:ascii="仿宋" w:hAnsi="仿宋" w:eastAsia="仿宋" w:cs="仿宋"/>
          <w:bCs/>
          <w:sz w:val="30"/>
          <w:szCs w:val="30"/>
        </w:rPr>
        <w:t>对每次资信评价工作，组织成立一个或者多个资信评价小组。每个资信评价小组由3人以上单数专家组成。</w:t>
      </w:r>
    </w:p>
    <w:p>
      <w:pPr>
        <w:widowControl w:val="0"/>
        <w:adjustRightInd/>
        <w:spacing w:line="560" w:lineRule="exact"/>
        <w:ind w:firstLine="602" w:firstLineChars="200"/>
        <w:jc w:val="both"/>
        <w:rPr>
          <w:rFonts w:hint="eastAsia" w:ascii="仿宋" w:hAnsi="仿宋" w:eastAsia="仿宋" w:cs="仿宋"/>
          <w:bCs/>
          <w:sz w:val="30"/>
          <w:szCs w:val="30"/>
        </w:rPr>
      </w:pPr>
      <w:r>
        <w:rPr>
          <w:rFonts w:hint="eastAsia" w:ascii="仿宋" w:hAnsi="仿宋" w:eastAsia="仿宋" w:cs="仿宋"/>
          <w:b/>
          <w:bCs/>
          <w:sz w:val="30"/>
          <w:szCs w:val="30"/>
        </w:rPr>
        <w:t xml:space="preserve">第三十三条  </w:t>
      </w:r>
      <w:r>
        <w:rPr>
          <w:rFonts w:hint="eastAsia" w:ascii="仿宋" w:hAnsi="仿宋" w:eastAsia="仿宋" w:cs="仿宋"/>
          <w:bCs/>
          <w:sz w:val="30"/>
          <w:szCs w:val="30"/>
        </w:rPr>
        <w:t>资信评价小组对申请机构的申请材料进行审核，对首次申请资信评价和申请晋升资信等级的估价机构，还应当进行现场检查。</w:t>
      </w:r>
    </w:p>
    <w:p>
      <w:pPr>
        <w:widowControl w:val="0"/>
        <w:adjustRightInd/>
        <w:spacing w:line="560" w:lineRule="exact"/>
        <w:ind w:firstLine="602" w:firstLineChars="200"/>
        <w:jc w:val="both"/>
        <w:rPr>
          <w:rFonts w:hint="eastAsia" w:ascii="仿宋" w:hAnsi="仿宋" w:eastAsia="仿宋" w:cs="仿宋"/>
          <w:bCs/>
          <w:sz w:val="30"/>
          <w:szCs w:val="30"/>
        </w:rPr>
      </w:pPr>
      <w:r>
        <w:rPr>
          <w:rFonts w:hint="eastAsia" w:ascii="仿宋" w:hAnsi="仿宋" w:eastAsia="仿宋" w:cs="仿宋"/>
          <w:b/>
          <w:bCs/>
          <w:sz w:val="30"/>
          <w:szCs w:val="30"/>
        </w:rPr>
        <w:t xml:space="preserve">第三十四条  </w:t>
      </w:r>
      <w:r>
        <w:rPr>
          <w:rFonts w:hint="eastAsia" w:ascii="仿宋" w:hAnsi="仿宋" w:eastAsia="仿宋" w:cs="仿宋"/>
          <w:bCs/>
          <w:sz w:val="30"/>
          <w:szCs w:val="30"/>
        </w:rPr>
        <w:t>资信评价中的估价报告评审采用全国统一的评审标准，评审得分可以采取下列方式确定：</w:t>
      </w:r>
    </w:p>
    <w:p>
      <w:pPr>
        <w:widowControl w:val="0"/>
        <w:adjustRightInd/>
        <w:spacing w:line="560" w:lineRule="exact"/>
        <w:ind w:firstLine="600" w:firstLineChars="200"/>
        <w:jc w:val="both"/>
        <w:rPr>
          <w:rFonts w:hint="eastAsia" w:ascii="仿宋" w:hAnsi="仿宋" w:eastAsia="仿宋" w:cs="仿宋"/>
          <w:bCs/>
          <w:sz w:val="30"/>
          <w:szCs w:val="30"/>
        </w:rPr>
      </w:pPr>
      <w:r>
        <w:rPr>
          <w:rFonts w:hint="eastAsia" w:ascii="仿宋" w:hAnsi="仿宋" w:eastAsia="仿宋" w:cs="仿宋"/>
          <w:bCs/>
          <w:sz w:val="30"/>
          <w:szCs w:val="30"/>
        </w:rPr>
        <w:t>（一）根据房地产估价行业主管部门或者省房协开展的估价报告检查和鉴定情况，确定评审得分；</w:t>
      </w:r>
    </w:p>
    <w:p>
      <w:pPr>
        <w:widowControl w:val="0"/>
        <w:adjustRightInd/>
        <w:spacing w:line="560" w:lineRule="exact"/>
        <w:ind w:firstLine="600" w:firstLineChars="200"/>
        <w:jc w:val="both"/>
        <w:rPr>
          <w:rFonts w:hint="eastAsia" w:ascii="仿宋" w:hAnsi="仿宋" w:eastAsia="仿宋" w:cs="仿宋"/>
          <w:bCs/>
          <w:sz w:val="30"/>
          <w:szCs w:val="30"/>
        </w:rPr>
      </w:pPr>
      <w:r>
        <w:rPr>
          <w:rFonts w:hint="eastAsia" w:ascii="仿宋" w:hAnsi="仿宋" w:eastAsia="仿宋" w:cs="仿宋"/>
          <w:bCs/>
          <w:sz w:val="30"/>
          <w:szCs w:val="30"/>
        </w:rPr>
        <w:t>（二）对申请机构的估价报告进行随机抽取，专家进行网上评审，确定评审得分。</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第三十五条  </w:t>
      </w:r>
      <w:r>
        <w:rPr>
          <w:rFonts w:hint="eastAsia" w:ascii="仿宋" w:hAnsi="仿宋" w:eastAsia="仿宋" w:cs="仿宋"/>
          <w:sz w:val="30"/>
          <w:szCs w:val="30"/>
        </w:rPr>
        <w:t>在资信初评结果公示期间，有关单位和个人对资信初评结果提出异议的，异议人应当书面实名反映情况，陈述具体事实理由并提供相关证据材料。</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评价实施单位将异议内容予以记录，并组织调查核实，根据调查核实情况作出处理决定，并将调查核实情况和处理结果反馈给异议人。</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第三十六条  </w:t>
      </w:r>
      <w:r>
        <w:rPr>
          <w:rFonts w:hint="eastAsia" w:ascii="仿宋" w:hAnsi="仿宋" w:eastAsia="仿宋" w:cs="仿宋"/>
          <w:sz w:val="30"/>
          <w:szCs w:val="30"/>
        </w:rPr>
        <w:t>评价实施单位要妥善保存资信评价工作的相关材料，包括申请材料、现场检查和估价报告评审情况、房地产估价机构资信评价表等。纸质材料保存期不得少于6年，电子数据应当长期保存。</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第三十七条  </w:t>
      </w:r>
      <w:r>
        <w:rPr>
          <w:rFonts w:hint="eastAsia" w:ascii="仿宋" w:hAnsi="仿宋" w:eastAsia="仿宋" w:cs="仿宋"/>
          <w:sz w:val="30"/>
          <w:szCs w:val="30"/>
        </w:rPr>
        <w:t>估价机构合并的，合并后存续或者新设立的估价机构可以承继合并前各方中较高的资信等级。</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估价机构分立的，原资信等级失效，分立后的各估价机构应当重新申请资信等级。</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bCs/>
          <w:sz w:val="30"/>
          <w:szCs w:val="30"/>
        </w:rPr>
        <w:t xml:space="preserve">第三十八条  </w:t>
      </w:r>
      <w:r>
        <w:rPr>
          <w:rFonts w:hint="eastAsia" w:ascii="仿宋" w:hAnsi="仿宋" w:eastAsia="仿宋" w:cs="仿宋"/>
          <w:bCs/>
          <w:sz w:val="30"/>
          <w:szCs w:val="30"/>
        </w:rPr>
        <w:t>估价</w:t>
      </w:r>
      <w:r>
        <w:rPr>
          <w:rFonts w:hint="eastAsia" w:ascii="仿宋" w:hAnsi="仿宋" w:eastAsia="仿宋" w:cs="仿宋"/>
          <w:sz w:val="30"/>
          <w:szCs w:val="30"/>
        </w:rPr>
        <w:t>机构存在下列情形之一的，可以视情节轻重对其资信等级予以降级，3年内不得申请晋升资信等级：</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（一）受到房地产估价行业主管部门行政处罚的；</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（二）受到省房协自律惩戒的；</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（三）出具虚假评估报告或者有重大遗漏的评估报告的；</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bCs/>
          <w:sz w:val="30"/>
          <w:szCs w:val="30"/>
        </w:rPr>
        <w:t>（四）因房地产估价活动受到相关部门处罚，产生不良社会影响的</w:t>
      </w:r>
      <w:r>
        <w:rPr>
          <w:rFonts w:hint="eastAsia" w:ascii="仿宋" w:hAnsi="仿宋" w:eastAsia="仿宋" w:cs="仿宋"/>
          <w:sz w:val="30"/>
          <w:szCs w:val="30"/>
        </w:rPr>
        <w:t>；</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（五）估价机构状况发生重大变化导致不能满足其所获资信等级条件的</w:t>
      </w:r>
      <w:r>
        <w:rPr>
          <w:rFonts w:hint="eastAsia" w:ascii="仿宋" w:hAnsi="仿宋" w:eastAsia="仿宋" w:cs="仿宋"/>
          <w:bCs/>
          <w:sz w:val="30"/>
          <w:szCs w:val="30"/>
        </w:rPr>
        <w:t>。</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第三十九条  </w:t>
      </w:r>
      <w:r>
        <w:rPr>
          <w:rFonts w:hint="eastAsia" w:ascii="仿宋" w:hAnsi="仿宋" w:eastAsia="仿宋" w:cs="仿宋"/>
          <w:sz w:val="30"/>
          <w:szCs w:val="30"/>
        </w:rPr>
        <w:t>估价机构存在下列情形之一的，可以撤销其资信等级，3年内不得申请资信评价：</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（一）被纳入失信被执行人名单的；</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（二）被房地产估价行业主管部门责令停业6个月以上的；</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（三）被省房协取消会员资格的；</w:t>
      </w:r>
    </w:p>
    <w:p>
      <w:pPr>
        <w:widowControl w:val="0"/>
        <w:adjustRightInd/>
        <w:spacing w:line="560" w:lineRule="exact"/>
        <w:ind w:firstLine="600" w:firstLineChars="200"/>
        <w:jc w:val="both"/>
        <w:rPr>
          <w:rFonts w:hint="eastAsia" w:ascii="仿宋" w:hAnsi="仿宋" w:eastAsia="仿宋" w:cs="仿宋"/>
          <w:bCs/>
          <w:sz w:val="30"/>
          <w:szCs w:val="30"/>
        </w:rPr>
      </w:pPr>
      <w:r>
        <w:rPr>
          <w:rFonts w:hint="eastAsia" w:ascii="仿宋" w:hAnsi="仿宋" w:eastAsia="仿宋" w:cs="仿宋"/>
          <w:bCs/>
          <w:sz w:val="30"/>
          <w:szCs w:val="30"/>
        </w:rPr>
        <w:t>（四）因房地产估价活动受到相关部门处罚，产生严重不良社会影响的。</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第四十条  </w:t>
      </w:r>
      <w:r>
        <w:rPr>
          <w:rFonts w:hint="eastAsia" w:ascii="仿宋" w:hAnsi="仿宋" w:eastAsia="仿宋" w:cs="仿宋"/>
          <w:sz w:val="30"/>
          <w:szCs w:val="30"/>
        </w:rPr>
        <w:t>估价机构存在本办法第三十八条、第三十九条所列情形的，应当及时告知评价实施单位；未及时告知或者故意隐瞒的，记入其信用档案，3年内不得申请资信评价。</w:t>
      </w:r>
    </w:p>
    <w:p>
      <w:pPr>
        <w:widowControl w:val="0"/>
        <w:adjustRightInd/>
        <w:spacing w:beforeLines="100" w:afterLines="100" w:line="560" w:lineRule="exact"/>
        <w:jc w:val="center"/>
        <w:rPr>
          <w:rFonts w:hint="eastAsia" w:ascii="仿宋" w:hAnsi="仿宋" w:eastAsia="仿宋" w:cs="仿宋"/>
          <w:b/>
          <w:bCs/>
          <w:sz w:val="30"/>
          <w:szCs w:val="30"/>
        </w:rPr>
      </w:pPr>
      <w:r>
        <w:rPr>
          <w:rFonts w:hint="eastAsia" w:ascii="仿宋" w:hAnsi="仿宋" w:eastAsia="仿宋" w:cs="仿宋"/>
          <w:b/>
          <w:bCs/>
          <w:sz w:val="30"/>
          <w:szCs w:val="30"/>
        </w:rPr>
        <w:t>第六章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监督管理</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第四十一条  </w:t>
      </w:r>
      <w:r>
        <w:rPr>
          <w:rFonts w:hint="eastAsia" w:ascii="仿宋" w:hAnsi="仿宋" w:eastAsia="仿宋" w:cs="仿宋"/>
          <w:sz w:val="30"/>
          <w:szCs w:val="30"/>
        </w:rPr>
        <w:t>评价实施单位将资信评价工作纳入本单位的廉政风险防控体系，有效预防违法违纪行为发生。</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评价实施单位收到参与资信评价工作的有关专家和工作人员（以下称评价人员）涉嫌违反工作纪律投诉举报的，应当予以核实处理。</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bCs/>
          <w:sz w:val="30"/>
          <w:szCs w:val="30"/>
        </w:rPr>
        <w:t xml:space="preserve">第四十二条  </w:t>
      </w:r>
      <w:r>
        <w:rPr>
          <w:rFonts w:hint="eastAsia" w:ascii="仿宋" w:hAnsi="仿宋" w:eastAsia="仿宋" w:cs="仿宋"/>
          <w:sz w:val="30"/>
          <w:szCs w:val="30"/>
        </w:rPr>
        <w:t>评价人员应当遵守国家相关法律法规、行业组织章程和资信评价有关规定，认真负责、秉公办事、廉洁自律。</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评价人员与申请机构有利害关系的，应当回避。应当回避而未回避的，该评价人员的评价意见无效。</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评价人员弄虚作假、滥用职权、徇私舞弊的，取消其参与资信评价工作的资格，提请相关单位对其进行处理。</w:t>
      </w:r>
    </w:p>
    <w:p>
      <w:pPr>
        <w:widowControl w:val="0"/>
        <w:adjustRightInd/>
        <w:spacing w:line="560" w:lineRule="exact"/>
        <w:ind w:firstLine="602" w:firstLineChars="200"/>
        <w:jc w:val="both"/>
        <w:rPr>
          <w:rFonts w:hint="eastAsia" w:ascii="仿宋" w:hAnsi="仿宋" w:eastAsia="仿宋" w:cs="仿宋"/>
          <w:bCs/>
          <w:sz w:val="30"/>
          <w:szCs w:val="30"/>
        </w:rPr>
      </w:pPr>
      <w:r>
        <w:rPr>
          <w:rFonts w:hint="eastAsia" w:ascii="仿宋" w:hAnsi="仿宋" w:eastAsia="仿宋" w:cs="仿宋"/>
          <w:b/>
          <w:bCs/>
          <w:sz w:val="30"/>
          <w:szCs w:val="30"/>
        </w:rPr>
        <w:t xml:space="preserve">第四十三条  </w:t>
      </w:r>
      <w:r>
        <w:rPr>
          <w:rFonts w:hint="eastAsia" w:ascii="仿宋" w:hAnsi="仿宋" w:eastAsia="仿宋" w:cs="仿宋"/>
          <w:bCs/>
          <w:sz w:val="30"/>
          <w:szCs w:val="30"/>
        </w:rPr>
        <w:t>评价实施单位和评价人员应当对资信评价工作中知悉的商业秘密、个人隐私予以保密。</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bCs/>
          <w:sz w:val="30"/>
          <w:szCs w:val="30"/>
        </w:rPr>
        <w:t xml:space="preserve">第四十四条  </w:t>
      </w:r>
      <w:r>
        <w:rPr>
          <w:rFonts w:hint="eastAsia" w:ascii="仿宋" w:hAnsi="仿宋" w:eastAsia="仿宋" w:cs="仿宋"/>
          <w:sz w:val="30"/>
          <w:szCs w:val="30"/>
        </w:rPr>
        <w:t>估价机构在资信评价中有下列行为的，记入其信用档案，3年内不得申请资信评价：</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（一）隐瞒事实、弄虚作假的；</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（二）捏造事实诽谤其他估价机构的；</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（三）贿赂、威胁评价实施单位和评价人员的；</w:t>
      </w:r>
    </w:p>
    <w:p>
      <w:pPr>
        <w:widowControl w:val="0"/>
        <w:adjustRightInd/>
        <w:spacing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（四）其他严重干扰资信评价工作的。</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第四十五条  </w:t>
      </w:r>
      <w:r>
        <w:rPr>
          <w:rFonts w:hint="eastAsia" w:ascii="仿宋" w:hAnsi="仿宋" w:eastAsia="仿宋" w:cs="仿宋"/>
          <w:sz w:val="30"/>
          <w:szCs w:val="30"/>
        </w:rPr>
        <w:t>资信评价工作遵循公益原则，不向申请机构收取或者变相收取任何费用。</w:t>
      </w:r>
    </w:p>
    <w:p>
      <w:pPr>
        <w:widowControl w:val="0"/>
        <w:adjustRightInd/>
        <w:spacing w:beforeLines="100" w:afterLines="100" w:line="560" w:lineRule="exact"/>
        <w:jc w:val="center"/>
        <w:rPr>
          <w:rFonts w:hint="eastAsia" w:ascii="仿宋" w:hAnsi="仿宋" w:eastAsia="仿宋" w:cs="仿宋"/>
          <w:b/>
          <w:bCs/>
          <w:sz w:val="30"/>
          <w:szCs w:val="30"/>
        </w:rPr>
      </w:pPr>
    </w:p>
    <w:p>
      <w:pPr>
        <w:widowControl w:val="0"/>
        <w:adjustRightInd/>
        <w:spacing w:beforeLines="100" w:afterLines="100" w:line="560" w:lineRule="exact"/>
        <w:jc w:val="center"/>
        <w:rPr>
          <w:rFonts w:hint="eastAsia" w:ascii="仿宋" w:hAnsi="仿宋" w:eastAsia="仿宋" w:cs="仿宋"/>
          <w:b/>
          <w:bCs/>
          <w:sz w:val="30"/>
          <w:szCs w:val="30"/>
        </w:rPr>
      </w:pPr>
      <w:r>
        <w:rPr>
          <w:rFonts w:hint="eastAsia" w:ascii="仿宋" w:hAnsi="仿宋" w:eastAsia="仿宋" w:cs="仿宋"/>
          <w:b/>
          <w:bCs/>
          <w:sz w:val="30"/>
          <w:szCs w:val="30"/>
        </w:rPr>
        <w:t>第七章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附则</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第四十六条  </w:t>
      </w:r>
      <w:r>
        <w:rPr>
          <w:rFonts w:hint="eastAsia" w:ascii="仿宋" w:hAnsi="仿宋" w:eastAsia="仿宋" w:cs="仿宋"/>
          <w:sz w:val="30"/>
          <w:szCs w:val="30"/>
        </w:rPr>
        <w:t>省房协制定资信评价工作的实施办法</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第四十七条 </w:t>
      </w:r>
      <w:r>
        <w:rPr>
          <w:rFonts w:hint="eastAsia" w:ascii="仿宋" w:hAnsi="仿宋" w:eastAsia="仿宋" w:cs="仿宋"/>
          <w:sz w:val="30"/>
          <w:szCs w:val="30"/>
        </w:rPr>
        <w:t xml:space="preserve"> 本办法由省房协负责解释。</w:t>
      </w:r>
    </w:p>
    <w:p>
      <w:pPr>
        <w:widowControl w:val="0"/>
        <w:adjustRightInd/>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sz w:val="30"/>
          <w:szCs w:val="30"/>
        </w:rPr>
        <w:t xml:space="preserve">第四十八条  </w:t>
      </w:r>
      <w:r>
        <w:rPr>
          <w:rFonts w:hint="eastAsia" w:ascii="仿宋" w:hAnsi="仿宋" w:eastAsia="仿宋" w:cs="仿宋"/>
          <w:sz w:val="30"/>
          <w:szCs w:val="30"/>
        </w:rPr>
        <w:t>本办法自公布之日起施行。</w:t>
      </w:r>
    </w:p>
    <w:p>
      <w:pPr>
        <w:widowControl w:val="0"/>
        <w:adjustRightInd/>
        <w:spacing w:line="560" w:lineRule="exact"/>
        <w:jc w:val="both"/>
        <w:rPr>
          <w:rStyle w:val="16"/>
          <w:rFonts w:hint="eastAsia" w:ascii="仿宋" w:hAnsi="仿宋" w:eastAsia="仿宋" w:cs="仿宋"/>
          <w:sz w:val="30"/>
          <w:szCs w:val="30"/>
        </w:rPr>
      </w:pPr>
    </w:p>
    <w:p>
      <w:pPr>
        <w:widowControl w:val="0"/>
        <w:adjustRightInd/>
        <w:spacing w:line="560" w:lineRule="exact"/>
        <w:ind w:firstLine="600" w:firstLineChars="200"/>
        <w:jc w:val="both"/>
        <w:rPr>
          <w:rFonts w:hint="eastAsia" w:ascii="仿宋" w:hAnsi="仿宋" w:eastAsia="仿宋" w:cs="仿宋"/>
          <w:sz w:val="30"/>
          <w:szCs w:val="30"/>
        </w:rPr>
      </w:pPr>
    </w:p>
    <w:p>
      <w:pPr>
        <w:widowControl w:val="0"/>
        <w:adjustRightInd/>
        <w:spacing w:line="560" w:lineRule="exact"/>
        <w:jc w:val="both"/>
        <w:rPr>
          <w:rFonts w:hint="eastAsia" w:ascii="仿宋" w:hAnsi="仿宋" w:eastAsia="仿宋" w:cs="仿宋"/>
          <w:kern w:val="2"/>
          <w:sz w:val="30"/>
          <w:szCs w:val="30"/>
        </w:rPr>
      </w:pPr>
    </w:p>
    <w:p>
      <w:pPr>
        <w:widowControl w:val="0"/>
        <w:adjustRightInd/>
        <w:spacing w:line="560" w:lineRule="exact"/>
        <w:jc w:val="both"/>
        <w:rPr>
          <w:rFonts w:hint="eastAsia" w:ascii="仿宋" w:hAnsi="仿宋" w:eastAsia="仿宋" w:cs="仿宋"/>
          <w:kern w:val="2"/>
          <w:sz w:val="30"/>
          <w:szCs w:val="30"/>
        </w:rPr>
      </w:pPr>
    </w:p>
    <w:p>
      <w:pPr>
        <w:widowControl w:val="0"/>
        <w:adjustRightInd/>
        <w:spacing w:line="560" w:lineRule="exact"/>
        <w:jc w:val="both"/>
        <w:rPr>
          <w:rFonts w:hint="eastAsia" w:ascii="仿宋" w:hAnsi="仿宋" w:eastAsia="仿宋" w:cs="仿宋"/>
          <w:kern w:val="2"/>
          <w:sz w:val="30"/>
          <w:szCs w:val="30"/>
        </w:rPr>
      </w:pPr>
    </w:p>
    <w:bookmarkEnd w:id="0"/>
    <w:p>
      <w:pPr>
        <w:widowControl w:val="0"/>
        <w:adjustRightInd/>
        <w:spacing w:line="560" w:lineRule="exact"/>
        <w:jc w:val="both"/>
        <w:rPr>
          <w:rFonts w:hint="eastAsia" w:ascii="仿宋" w:hAnsi="仿宋" w:eastAsia="仿宋" w:cs="仿宋"/>
          <w:kern w:val="2"/>
          <w:sz w:val="30"/>
          <w:szCs w:val="30"/>
        </w:rPr>
      </w:pPr>
    </w:p>
    <w:p>
      <w:pPr>
        <w:widowControl w:val="0"/>
        <w:adjustRightInd/>
        <w:spacing w:line="560" w:lineRule="exact"/>
        <w:jc w:val="both"/>
        <w:rPr>
          <w:rFonts w:hint="eastAsia" w:ascii="仿宋" w:hAnsi="仿宋" w:eastAsia="仿宋" w:cs="仿宋"/>
          <w:kern w:val="2"/>
          <w:sz w:val="30"/>
          <w:szCs w:val="30"/>
        </w:rPr>
      </w:pPr>
    </w:p>
    <w:sectPr>
      <w:footerReference r:id="rId3" w:type="default"/>
      <w:endnotePr>
        <w:numFmt w:val="decimal"/>
        <w:numStart w:val="0"/>
      </w:endnotePr>
      <w:pgSz w:w="11907" w:h="16840"/>
      <w:pgMar w:top="1440" w:right="1797" w:bottom="1440" w:left="1797"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utami">
    <w:panose1 w:val="020B0502040204020203"/>
    <w:charset w:val="00"/>
    <w:family w:val="swiss"/>
    <w:pitch w:val="default"/>
    <w:sig w:usb0="002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44A72B"/>
    <w:multiLevelType w:val="singleLevel"/>
    <w:tmpl w:val="9744A72B"/>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NotTrackMoves/>
  <w:documentProtection w:enforcement="0"/>
  <w:defaultTabStop w:val="720"/>
  <w:hyphenationZone w:val="0"/>
  <w:doNotHyphenateCaps/>
  <w:drawingGridHorizontalSpacing w:val="100"/>
  <w:drawingGridVerticalSpacing w:val="104"/>
  <w:displayHorizontalDrawingGridEvery w:val="0"/>
  <w:displayVerticalDrawingGridEvery w:val="0"/>
  <w:doNotShadeFormData w:val="1"/>
  <w:characterSpacingControl w:val="doNotCompress"/>
  <w:noLineBreaksAfter w:lang="zh-CN" w:val="$([{£¥·‘“〈《「『【〔〖〝﹙﹛﹝＄（．［｛￡￥"/>
  <w:noLineBreaksBefore w:lang="zh-CN" w:val="!%),.:;&gt;?]}¢¨°·ˇˉ―‖’”…‰′″›℃∶、。〃〉》」』】〕〗〞︶︺︾﹀﹄﹚﹜﹞！＂％＇），．：；？］｀｜｝～￠"/>
  <w:endnotePr>
    <w:pos w:val="sectEnd"/>
    <w:numFmt w:val="decimal"/>
    <w:numStart w:val="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7646"/>
    <w:rsid w:val="000002D1"/>
    <w:rsid w:val="000018BE"/>
    <w:rsid w:val="00001924"/>
    <w:rsid w:val="00002BC4"/>
    <w:rsid w:val="00002D31"/>
    <w:rsid w:val="00004344"/>
    <w:rsid w:val="0000464B"/>
    <w:rsid w:val="00004ABA"/>
    <w:rsid w:val="000052AC"/>
    <w:rsid w:val="00005BE8"/>
    <w:rsid w:val="0001037F"/>
    <w:rsid w:val="00010BEA"/>
    <w:rsid w:val="000113B1"/>
    <w:rsid w:val="00012F64"/>
    <w:rsid w:val="00013B16"/>
    <w:rsid w:val="00014CB8"/>
    <w:rsid w:val="0001560D"/>
    <w:rsid w:val="00015A80"/>
    <w:rsid w:val="00016FF2"/>
    <w:rsid w:val="00017113"/>
    <w:rsid w:val="00017129"/>
    <w:rsid w:val="000171FD"/>
    <w:rsid w:val="00017276"/>
    <w:rsid w:val="00021701"/>
    <w:rsid w:val="000219E5"/>
    <w:rsid w:val="00022120"/>
    <w:rsid w:val="0002289C"/>
    <w:rsid w:val="00023D19"/>
    <w:rsid w:val="00024236"/>
    <w:rsid w:val="0002438C"/>
    <w:rsid w:val="00024718"/>
    <w:rsid w:val="000248F1"/>
    <w:rsid w:val="00024B1E"/>
    <w:rsid w:val="00025E9A"/>
    <w:rsid w:val="00026E3D"/>
    <w:rsid w:val="000271FC"/>
    <w:rsid w:val="00027FEE"/>
    <w:rsid w:val="0003089D"/>
    <w:rsid w:val="00032A05"/>
    <w:rsid w:val="00032F71"/>
    <w:rsid w:val="000331EC"/>
    <w:rsid w:val="000332D4"/>
    <w:rsid w:val="00034400"/>
    <w:rsid w:val="00035023"/>
    <w:rsid w:val="00035375"/>
    <w:rsid w:val="00035FB9"/>
    <w:rsid w:val="00037164"/>
    <w:rsid w:val="00041E89"/>
    <w:rsid w:val="000441A8"/>
    <w:rsid w:val="00044BDE"/>
    <w:rsid w:val="00045B66"/>
    <w:rsid w:val="000505C6"/>
    <w:rsid w:val="000506AB"/>
    <w:rsid w:val="000507FD"/>
    <w:rsid w:val="00050924"/>
    <w:rsid w:val="00050E8E"/>
    <w:rsid w:val="0005186A"/>
    <w:rsid w:val="00052ED0"/>
    <w:rsid w:val="00054940"/>
    <w:rsid w:val="00054A56"/>
    <w:rsid w:val="00055051"/>
    <w:rsid w:val="000553EC"/>
    <w:rsid w:val="00056708"/>
    <w:rsid w:val="00057179"/>
    <w:rsid w:val="00057258"/>
    <w:rsid w:val="00061125"/>
    <w:rsid w:val="00061411"/>
    <w:rsid w:val="000617D4"/>
    <w:rsid w:val="00061870"/>
    <w:rsid w:val="00061E22"/>
    <w:rsid w:val="000625B0"/>
    <w:rsid w:val="000628B2"/>
    <w:rsid w:val="0006570E"/>
    <w:rsid w:val="000658F7"/>
    <w:rsid w:val="00065E02"/>
    <w:rsid w:val="000665BC"/>
    <w:rsid w:val="00066D59"/>
    <w:rsid w:val="00067B63"/>
    <w:rsid w:val="00067C26"/>
    <w:rsid w:val="00070FAA"/>
    <w:rsid w:val="0007101F"/>
    <w:rsid w:val="0007133D"/>
    <w:rsid w:val="00072AD0"/>
    <w:rsid w:val="00072C36"/>
    <w:rsid w:val="00073492"/>
    <w:rsid w:val="000740D7"/>
    <w:rsid w:val="000746E1"/>
    <w:rsid w:val="00074BB9"/>
    <w:rsid w:val="000750F9"/>
    <w:rsid w:val="00077861"/>
    <w:rsid w:val="00077E30"/>
    <w:rsid w:val="0008052C"/>
    <w:rsid w:val="000805F2"/>
    <w:rsid w:val="0008192C"/>
    <w:rsid w:val="0008204A"/>
    <w:rsid w:val="000825E0"/>
    <w:rsid w:val="00083193"/>
    <w:rsid w:val="00083EE3"/>
    <w:rsid w:val="0008479D"/>
    <w:rsid w:val="0008583F"/>
    <w:rsid w:val="0009048A"/>
    <w:rsid w:val="000907DC"/>
    <w:rsid w:val="00091BCA"/>
    <w:rsid w:val="000920DD"/>
    <w:rsid w:val="0009574D"/>
    <w:rsid w:val="00096049"/>
    <w:rsid w:val="00096142"/>
    <w:rsid w:val="000A1E0D"/>
    <w:rsid w:val="000A2071"/>
    <w:rsid w:val="000A4148"/>
    <w:rsid w:val="000A49E7"/>
    <w:rsid w:val="000A4C3A"/>
    <w:rsid w:val="000A5431"/>
    <w:rsid w:val="000A5503"/>
    <w:rsid w:val="000A5AC3"/>
    <w:rsid w:val="000B097A"/>
    <w:rsid w:val="000B1876"/>
    <w:rsid w:val="000B1A52"/>
    <w:rsid w:val="000B2E20"/>
    <w:rsid w:val="000B3E49"/>
    <w:rsid w:val="000B4CF3"/>
    <w:rsid w:val="000B5A94"/>
    <w:rsid w:val="000B6E81"/>
    <w:rsid w:val="000B6F85"/>
    <w:rsid w:val="000C13D2"/>
    <w:rsid w:val="000C19D3"/>
    <w:rsid w:val="000C216A"/>
    <w:rsid w:val="000C42AF"/>
    <w:rsid w:val="000C60E3"/>
    <w:rsid w:val="000D0A64"/>
    <w:rsid w:val="000D1A89"/>
    <w:rsid w:val="000D2985"/>
    <w:rsid w:val="000D356A"/>
    <w:rsid w:val="000D760E"/>
    <w:rsid w:val="000E0D50"/>
    <w:rsid w:val="000E2821"/>
    <w:rsid w:val="000E4929"/>
    <w:rsid w:val="000E553F"/>
    <w:rsid w:val="000E7493"/>
    <w:rsid w:val="000F1929"/>
    <w:rsid w:val="000F31A9"/>
    <w:rsid w:val="000F36C2"/>
    <w:rsid w:val="000F49C9"/>
    <w:rsid w:val="000F4AA4"/>
    <w:rsid w:val="000F4FC1"/>
    <w:rsid w:val="000F538A"/>
    <w:rsid w:val="000F6290"/>
    <w:rsid w:val="000F6A4F"/>
    <w:rsid w:val="000F6BAC"/>
    <w:rsid w:val="000F7F23"/>
    <w:rsid w:val="0010131E"/>
    <w:rsid w:val="001018AD"/>
    <w:rsid w:val="00102038"/>
    <w:rsid w:val="00102694"/>
    <w:rsid w:val="00102D12"/>
    <w:rsid w:val="00102D1D"/>
    <w:rsid w:val="001042F5"/>
    <w:rsid w:val="001047E1"/>
    <w:rsid w:val="00104D36"/>
    <w:rsid w:val="001051A6"/>
    <w:rsid w:val="0010665A"/>
    <w:rsid w:val="00107F40"/>
    <w:rsid w:val="0011056C"/>
    <w:rsid w:val="0011299B"/>
    <w:rsid w:val="00112EAE"/>
    <w:rsid w:val="001150F0"/>
    <w:rsid w:val="001163EF"/>
    <w:rsid w:val="0011643E"/>
    <w:rsid w:val="00116471"/>
    <w:rsid w:val="0011678C"/>
    <w:rsid w:val="00116988"/>
    <w:rsid w:val="00117128"/>
    <w:rsid w:val="00117BB4"/>
    <w:rsid w:val="00117FDC"/>
    <w:rsid w:val="00121BE8"/>
    <w:rsid w:val="00122E8A"/>
    <w:rsid w:val="00123141"/>
    <w:rsid w:val="00123647"/>
    <w:rsid w:val="0012366E"/>
    <w:rsid w:val="00125CAA"/>
    <w:rsid w:val="00126826"/>
    <w:rsid w:val="00130EC1"/>
    <w:rsid w:val="001317C1"/>
    <w:rsid w:val="00133320"/>
    <w:rsid w:val="001335D0"/>
    <w:rsid w:val="001345E7"/>
    <w:rsid w:val="00135613"/>
    <w:rsid w:val="00135B67"/>
    <w:rsid w:val="001362A4"/>
    <w:rsid w:val="00136BC4"/>
    <w:rsid w:val="00136C36"/>
    <w:rsid w:val="00137B97"/>
    <w:rsid w:val="00137C5C"/>
    <w:rsid w:val="00142215"/>
    <w:rsid w:val="00142D25"/>
    <w:rsid w:val="00143C24"/>
    <w:rsid w:val="001447D8"/>
    <w:rsid w:val="00145287"/>
    <w:rsid w:val="001524EA"/>
    <w:rsid w:val="00152A52"/>
    <w:rsid w:val="00152C57"/>
    <w:rsid w:val="001540AD"/>
    <w:rsid w:val="00154384"/>
    <w:rsid w:val="00154D26"/>
    <w:rsid w:val="001556A1"/>
    <w:rsid w:val="0015575E"/>
    <w:rsid w:val="0015750B"/>
    <w:rsid w:val="00161CD1"/>
    <w:rsid w:val="00163265"/>
    <w:rsid w:val="0016348D"/>
    <w:rsid w:val="00164330"/>
    <w:rsid w:val="00164735"/>
    <w:rsid w:val="00164D55"/>
    <w:rsid w:val="00165487"/>
    <w:rsid w:val="00166012"/>
    <w:rsid w:val="001665A9"/>
    <w:rsid w:val="0016747C"/>
    <w:rsid w:val="00167E15"/>
    <w:rsid w:val="001700EB"/>
    <w:rsid w:val="00172D86"/>
    <w:rsid w:val="0017415C"/>
    <w:rsid w:val="001756FE"/>
    <w:rsid w:val="001758B9"/>
    <w:rsid w:val="00176E30"/>
    <w:rsid w:val="00177E79"/>
    <w:rsid w:val="0018049F"/>
    <w:rsid w:val="001825D6"/>
    <w:rsid w:val="00183EAC"/>
    <w:rsid w:val="00187CA7"/>
    <w:rsid w:val="00187E93"/>
    <w:rsid w:val="00190DA0"/>
    <w:rsid w:val="00191FC5"/>
    <w:rsid w:val="00193180"/>
    <w:rsid w:val="001935E9"/>
    <w:rsid w:val="001941C2"/>
    <w:rsid w:val="001969B2"/>
    <w:rsid w:val="00196A54"/>
    <w:rsid w:val="001A11F8"/>
    <w:rsid w:val="001A1338"/>
    <w:rsid w:val="001A2ABD"/>
    <w:rsid w:val="001A3004"/>
    <w:rsid w:val="001A3260"/>
    <w:rsid w:val="001A3D3D"/>
    <w:rsid w:val="001A3F30"/>
    <w:rsid w:val="001A48D3"/>
    <w:rsid w:val="001A4FA3"/>
    <w:rsid w:val="001A57BD"/>
    <w:rsid w:val="001A70F3"/>
    <w:rsid w:val="001A7A65"/>
    <w:rsid w:val="001B0915"/>
    <w:rsid w:val="001B3110"/>
    <w:rsid w:val="001B3D54"/>
    <w:rsid w:val="001B72BE"/>
    <w:rsid w:val="001C03E3"/>
    <w:rsid w:val="001C0695"/>
    <w:rsid w:val="001C3AC8"/>
    <w:rsid w:val="001C4ECE"/>
    <w:rsid w:val="001C7E24"/>
    <w:rsid w:val="001D077B"/>
    <w:rsid w:val="001D1FC3"/>
    <w:rsid w:val="001D38E7"/>
    <w:rsid w:val="001D3B04"/>
    <w:rsid w:val="001D3F43"/>
    <w:rsid w:val="001D507E"/>
    <w:rsid w:val="001D66FF"/>
    <w:rsid w:val="001D6CB7"/>
    <w:rsid w:val="001D723E"/>
    <w:rsid w:val="001E02E1"/>
    <w:rsid w:val="001E0AD6"/>
    <w:rsid w:val="001E2B3B"/>
    <w:rsid w:val="001E5110"/>
    <w:rsid w:val="001E722E"/>
    <w:rsid w:val="001E7E71"/>
    <w:rsid w:val="001F144E"/>
    <w:rsid w:val="001F1B1E"/>
    <w:rsid w:val="001F26E7"/>
    <w:rsid w:val="001F30B7"/>
    <w:rsid w:val="001F3F61"/>
    <w:rsid w:val="001F48D9"/>
    <w:rsid w:val="001F509E"/>
    <w:rsid w:val="001F59F3"/>
    <w:rsid w:val="001F6996"/>
    <w:rsid w:val="002001AD"/>
    <w:rsid w:val="00200E85"/>
    <w:rsid w:val="00201CF9"/>
    <w:rsid w:val="0020224F"/>
    <w:rsid w:val="00202D62"/>
    <w:rsid w:val="002061FC"/>
    <w:rsid w:val="00210B27"/>
    <w:rsid w:val="00210E5C"/>
    <w:rsid w:val="00212D73"/>
    <w:rsid w:val="0021348B"/>
    <w:rsid w:val="00213998"/>
    <w:rsid w:val="00214C59"/>
    <w:rsid w:val="00216A05"/>
    <w:rsid w:val="00220562"/>
    <w:rsid w:val="002211EB"/>
    <w:rsid w:val="002212E1"/>
    <w:rsid w:val="002214A7"/>
    <w:rsid w:val="00221900"/>
    <w:rsid w:val="00222305"/>
    <w:rsid w:val="00224050"/>
    <w:rsid w:val="0022498C"/>
    <w:rsid w:val="0022533F"/>
    <w:rsid w:val="00225367"/>
    <w:rsid w:val="002253D0"/>
    <w:rsid w:val="002279CC"/>
    <w:rsid w:val="002279FB"/>
    <w:rsid w:val="002307CE"/>
    <w:rsid w:val="00230AFC"/>
    <w:rsid w:val="002314C2"/>
    <w:rsid w:val="002320D1"/>
    <w:rsid w:val="00232648"/>
    <w:rsid w:val="002332F1"/>
    <w:rsid w:val="00233F1F"/>
    <w:rsid w:val="00234302"/>
    <w:rsid w:val="002357EC"/>
    <w:rsid w:val="00236F62"/>
    <w:rsid w:val="00237D2B"/>
    <w:rsid w:val="00240330"/>
    <w:rsid w:val="002411A7"/>
    <w:rsid w:val="00241725"/>
    <w:rsid w:val="00242C51"/>
    <w:rsid w:val="00242E72"/>
    <w:rsid w:val="0024641D"/>
    <w:rsid w:val="0024643E"/>
    <w:rsid w:val="00247086"/>
    <w:rsid w:val="00247208"/>
    <w:rsid w:val="0024724E"/>
    <w:rsid w:val="0024738B"/>
    <w:rsid w:val="002474F6"/>
    <w:rsid w:val="00247D49"/>
    <w:rsid w:val="00250393"/>
    <w:rsid w:val="00250E23"/>
    <w:rsid w:val="00251D9A"/>
    <w:rsid w:val="00254E36"/>
    <w:rsid w:val="00256B11"/>
    <w:rsid w:val="00260448"/>
    <w:rsid w:val="00261DF6"/>
    <w:rsid w:val="00262D18"/>
    <w:rsid w:val="00262E2A"/>
    <w:rsid w:val="0026354C"/>
    <w:rsid w:val="00265BB5"/>
    <w:rsid w:val="00266075"/>
    <w:rsid w:val="00266B36"/>
    <w:rsid w:val="00270906"/>
    <w:rsid w:val="00270B2F"/>
    <w:rsid w:val="00270D9C"/>
    <w:rsid w:val="00271B3E"/>
    <w:rsid w:val="002721A8"/>
    <w:rsid w:val="002721BD"/>
    <w:rsid w:val="00274414"/>
    <w:rsid w:val="00275E69"/>
    <w:rsid w:val="00275E75"/>
    <w:rsid w:val="00276D52"/>
    <w:rsid w:val="002774F5"/>
    <w:rsid w:val="0028108A"/>
    <w:rsid w:val="0028539E"/>
    <w:rsid w:val="002858B8"/>
    <w:rsid w:val="00285A4F"/>
    <w:rsid w:val="00286A61"/>
    <w:rsid w:val="00286A68"/>
    <w:rsid w:val="002870D5"/>
    <w:rsid w:val="0029021B"/>
    <w:rsid w:val="00292D2C"/>
    <w:rsid w:val="00293182"/>
    <w:rsid w:val="00294703"/>
    <w:rsid w:val="002957CE"/>
    <w:rsid w:val="0029610E"/>
    <w:rsid w:val="00296937"/>
    <w:rsid w:val="00297569"/>
    <w:rsid w:val="002A1265"/>
    <w:rsid w:val="002A1A9D"/>
    <w:rsid w:val="002A234C"/>
    <w:rsid w:val="002A4073"/>
    <w:rsid w:val="002A4AF8"/>
    <w:rsid w:val="002A5B9D"/>
    <w:rsid w:val="002A5C39"/>
    <w:rsid w:val="002A5E8D"/>
    <w:rsid w:val="002A6534"/>
    <w:rsid w:val="002A676B"/>
    <w:rsid w:val="002A7278"/>
    <w:rsid w:val="002B04E4"/>
    <w:rsid w:val="002B0B60"/>
    <w:rsid w:val="002B370B"/>
    <w:rsid w:val="002B518B"/>
    <w:rsid w:val="002B58BF"/>
    <w:rsid w:val="002B68CB"/>
    <w:rsid w:val="002B7725"/>
    <w:rsid w:val="002B7C32"/>
    <w:rsid w:val="002C0BB8"/>
    <w:rsid w:val="002C131E"/>
    <w:rsid w:val="002C1688"/>
    <w:rsid w:val="002C172A"/>
    <w:rsid w:val="002C2545"/>
    <w:rsid w:val="002C51DD"/>
    <w:rsid w:val="002C56D9"/>
    <w:rsid w:val="002C7327"/>
    <w:rsid w:val="002C7AAE"/>
    <w:rsid w:val="002D001F"/>
    <w:rsid w:val="002D09D0"/>
    <w:rsid w:val="002D15C9"/>
    <w:rsid w:val="002D199B"/>
    <w:rsid w:val="002D1C24"/>
    <w:rsid w:val="002D2F87"/>
    <w:rsid w:val="002D4715"/>
    <w:rsid w:val="002D4C0E"/>
    <w:rsid w:val="002D4C24"/>
    <w:rsid w:val="002D4CB6"/>
    <w:rsid w:val="002D6610"/>
    <w:rsid w:val="002D6C41"/>
    <w:rsid w:val="002E0AFF"/>
    <w:rsid w:val="002E2231"/>
    <w:rsid w:val="002E2CA9"/>
    <w:rsid w:val="002E352D"/>
    <w:rsid w:val="002E5176"/>
    <w:rsid w:val="002E53B6"/>
    <w:rsid w:val="002E61DE"/>
    <w:rsid w:val="002E6373"/>
    <w:rsid w:val="002E6956"/>
    <w:rsid w:val="002E6BF9"/>
    <w:rsid w:val="002E7305"/>
    <w:rsid w:val="002E7ECB"/>
    <w:rsid w:val="002F1BBD"/>
    <w:rsid w:val="002F2A8B"/>
    <w:rsid w:val="002F33C7"/>
    <w:rsid w:val="002F361D"/>
    <w:rsid w:val="002F40CA"/>
    <w:rsid w:val="002F5AA4"/>
    <w:rsid w:val="002F5E4B"/>
    <w:rsid w:val="002F603C"/>
    <w:rsid w:val="002F658E"/>
    <w:rsid w:val="002F6C31"/>
    <w:rsid w:val="003023BA"/>
    <w:rsid w:val="003025E4"/>
    <w:rsid w:val="003026F4"/>
    <w:rsid w:val="00302E83"/>
    <w:rsid w:val="00303024"/>
    <w:rsid w:val="0030424F"/>
    <w:rsid w:val="0030425D"/>
    <w:rsid w:val="00306C36"/>
    <w:rsid w:val="0030705B"/>
    <w:rsid w:val="003077A8"/>
    <w:rsid w:val="0030790B"/>
    <w:rsid w:val="00307C67"/>
    <w:rsid w:val="0031161B"/>
    <w:rsid w:val="00312343"/>
    <w:rsid w:val="003125DF"/>
    <w:rsid w:val="00313640"/>
    <w:rsid w:val="003136C4"/>
    <w:rsid w:val="00314886"/>
    <w:rsid w:val="00315650"/>
    <w:rsid w:val="0031625F"/>
    <w:rsid w:val="00316BE2"/>
    <w:rsid w:val="00316DE2"/>
    <w:rsid w:val="00317198"/>
    <w:rsid w:val="003174B4"/>
    <w:rsid w:val="00317B24"/>
    <w:rsid w:val="00321B8D"/>
    <w:rsid w:val="00321CF9"/>
    <w:rsid w:val="00322854"/>
    <w:rsid w:val="003228B5"/>
    <w:rsid w:val="00324FDD"/>
    <w:rsid w:val="003258A2"/>
    <w:rsid w:val="003305CC"/>
    <w:rsid w:val="00330FEB"/>
    <w:rsid w:val="003311D5"/>
    <w:rsid w:val="00331C4F"/>
    <w:rsid w:val="00333561"/>
    <w:rsid w:val="00333BE0"/>
    <w:rsid w:val="003356F2"/>
    <w:rsid w:val="003359FD"/>
    <w:rsid w:val="0033734D"/>
    <w:rsid w:val="0034004C"/>
    <w:rsid w:val="003405CD"/>
    <w:rsid w:val="003416C4"/>
    <w:rsid w:val="00341C3F"/>
    <w:rsid w:val="00343B24"/>
    <w:rsid w:val="0034435B"/>
    <w:rsid w:val="0034580A"/>
    <w:rsid w:val="00345830"/>
    <w:rsid w:val="00345BB8"/>
    <w:rsid w:val="00346A62"/>
    <w:rsid w:val="0034746C"/>
    <w:rsid w:val="00350F85"/>
    <w:rsid w:val="00351929"/>
    <w:rsid w:val="00352394"/>
    <w:rsid w:val="00352A13"/>
    <w:rsid w:val="00353609"/>
    <w:rsid w:val="003545E9"/>
    <w:rsid w:val="00355FA5"/>
    <w:rsid w:val="00356B79"/>
    <w:rsid w:val="003570C9"/>
    <w:rsid w:val="003573D5"/>
    <w:rsid w:val="003579E8"/>
    <w:rsid w:val="003608CE"/>
    <w:rsid w:val="00361C7B"/>
    <w:rsid w:val="00362F9D"/>
    <w:rsid w:val="003658EA"/>
    <w:rsid w:val="0036693E"/>
    <w:rsid w:val="003700F8"/>
    <w:rsid w:val="0037097E"/>
    <w:rsid w:val="003728DD"/>
    <w:rsid w:val="00372DEB"/>
    <w:rsid w:val="003731DD"/>
    <w:rsid w:val="003734FF"/>
    <w:rsid w:val="00373CEC"/>
    <w:rsid w:val="00375737"/>
    <w:rsid w:val="00375B8A"/>
    <w:rsid w:val="003762B1"/>
    <w:rsid w:val="00376B05"/>
    <w:rsid w:val="003772E7"/>
    <w:rsid w:val="00377632"/>
    <w:rsid w:val="0038013B"/>
    <w:rsid w:val="003802A8"/>
    <w:rsid w:val="003805C1"/>
    <w:rsid w:val="00380703"/>
    <w:rsid w:val="0038080B"/>
    <w:rsid w:val="00384DCF"/>
    <w:rsid w:val="00387E10"/>
    <w:rsid w:val="00390456"/>
    <w:rsid w:val="00390CE0"/>
    <w:rsid w:val="00391B11"/>
    <w:rsid w:val="0039258D"/>
    <w:rsid w:val="00393B3E"/>
    <w:rsid w:val="003951E5"/>
    <w:rsid w:val="00395F3E"/>
    <w:rsid w:val="0039665D"/>
    <w:rsid w:val="00396B94"/>
    <w:rsid w:val="00397A29"/>
    <w:rsid w:val="003A0129"/>
    <w:rsid w:val="003A1368"/>
    <w:rsid w:val="003A1495"/>
    <w:rsid w:val="003A299B"/>
    <w:rsid w:val="003A2FBC"/>
    <w:rsid w:val="003A30A7"/>
    <w:rsid w:val="003A4720"/>
    <w:rsid w:val="003A534A"/>
    <w:rsid w:val="003B2783"/>
    <w:rsid w:val="003B3028"/>
    <w:rsid w:val="003B31D8"/>
    <w:rsid w:val="003B5103"/>
    <w:rsid w:val="003B5195"/>
    <w:rsid w:val="003B5851"/>
    <w:rsid w:val="003B68D8"/>
    <w:rsid w:val="003B70C8"/>
    <w:rsid w:val="003B7D1E"/>
    <w:rsid w:val="003C17B3"/>
    <w:rsid w:val="003C22B7"/>
    <w:rsid w:val="003C37CA"/>
    <w:rsid w:val="003C493B"/>
    <w:rsid w:val="003C4EDB"/>
    <w:rsid w:val="003C4EFB"/>
    <w:rsid w:val="003C5F7E"/>
    <w:rsid w:val="003C6FC8"/>
    <w:rsid w:val="003D1DFF"/>
    <w:rsid w:val="003D20E8"/>
    <w:rsid w:val="003D2300"/>
    <w:rsid w:val="003D23E6"/>
    <w:rsid w:val="003D2957"/>
    <w:rsid w:val="003D3500"/>
    <w:rsid w:val="003D3E59"/>
    <w:rsid w:val="003D4627"/>
    <w:rsid w:val="003D4F2F"/>
    <w:rsid w:val="003D57B7"/>
    <w:rsid w:val="003D6EB5"/>
    <w:rsid w:val="003D7865"/>
    <w:rsid w:val="003D7A02"/>
    <w:rsid w:val="003E18B8"/>
    <w:rsid w:val="003E2235"/>
    <w:rsid w:val="003E2ACA"/>
    <w:rsid w:val="003E3090"/>
    <w:rsid w:val="003E3139"/>
    <w:rsid w:val="003E40E0"/>
    <w:rsid w:val="003E7A16"/>
    <w:rsid w:val="003E7EAB"/>
    <w:rsid w:val="003F0EF4"/>
    <w:rsid w:val="003F1B53"/>
    <w:rsid w:val="003F1F7A"/>
    <w:rsid w:val="003F26A9"/>
    <w:rsid w:val="003F28E0"/>
    <w:rsid w:val="003F2930"/>
    <w:rsid w:val="003F4442"/>
    <w:rsid w:val="003F4540"/>
    <w:rsid w:val="003F4A07"/>
    <w:rsid w:val="003F581C"/>
    <w:rsid w:val="0040081F"/>
    <w:rsid w:val="0040100C"/>
    <w:rsid w:val="00401BD3"/>
    <w:rsid w:val="00402039"/>
    <w:rsid w:val="00402454"/>
    <w:rsid w:val="00403690"/>
    <w:rsid w:val="00403A61"/>
    <w:rsid w:val="004040EC"/>
    <w:rsid w:val="004042E4"/>
    <w:rsid w:val="00404BC8"/>
    <w:rsid w:val="004050EE"/>
    <w:rsid w:val="00405BCE"/>
    <w:rsid w:val="004067E4"/>
    <w:rsid w:val="00407319"/>
    <w:rsid w:val="00407DE0"/>
    <w:rsid w:val="004105E9"/>
    <w:rsid w:val="0041075E"/>
    <w:rsid w:val="0041177B"/>
    <w:rsid w:val="00411D40"/>
    <w:rsid w:val="00414092"/>
    <w:rsid w:val="004145F6"/>
    <w:rsid w:val="004153CD"/>
    <w:rsid w:val="004158DA"/>
    <w:rsid w:val="00415A49"/>
    <w:rsid w:val="0041782E"/>
    <w:rsid w:val="00417957"/>
    <w:rsid w:val="00420737"/>
    <w:rsid w:val="00421706"/>
    <w:rsid w:val="00423B4A"/>
    <w:rsid w:val="00424223"/>
    <w:rsid w:val="00424422"/>
    <w:rsid w:val="00426D60"/>
    <w:rsid w:val="004314D9"/>
    <w:rsid w:val="00431E0A"/>
    <w:rsid w:val="00431EE7"/>
    <w:rsid w:val="004337B2"/>
    <w:rsid w:val="004338AF"/>
    <w:rsid w:val="004341D9"/>
    <w:rsid w:val="004354BE"/>
    <w:rsid w:val="0043765B"/>
    <w:rsid w:val="00437A2C"/>
    <w:rsid w:val="0044156F"/>
    <w:rsid w:val="004426C9"/>
    <w:rsid w:val="00443E21"/>
    <w:rsid w:val="0044403E"/>
    <w:rsid w:val="0045054A"/>
    <w:rsid w:val="00450B5B"/>
    <w:rsid w:val="00450F47"/>
    <w:rsid w:val="00451B1F"/>
    <w:rsid w:val="00451DC8"/>
    <w:rsid w:val="00452C76"/>
    <w:rsid w:val="004530E5"/>
    <w:rsid w:val="00454E11"/>
    <w:rsid w:val="00455383"/>
    <w:rsid w:val="004559C0"/>
    <w:rsid w:val="00455B0B"/>
    <w:rsid w:val="00456A90"/>
    <w:rsid w:val="00462AB9"/>
    <w:rsid w:val="00463516"/>
    <w:rsid w:val="00464156"/>
    <w:rsid w:val="00464A6E"/>
    <w:rsid w:val="0046763D"/>
    <w:rsid w:val="0047021A"/>
    <w:rsid w:val="00470640"/>
    <w:rsid w:val="004706E9"/>
    <w:rsid w:val="00470C4E"/>
    <w:rsid w:val="004717AD"/>
    <w:rsid w:val="00471991"/>
    <w:rsid w:val="004725E5"/>
    <w:rsid w:val="00473762"/>
    <w:rsid w:val="00473931"/>
    <w:rsid w:val="0047452D"/>
    <w:rsid w:val="0047456B"/>
    <w:rsid w:val="00475561"/>
    <w:rsid w:val="004767E0"/>
    <w:rsid w:val="00476B5E"/>
    <w:rsid w:val="004778FB"/>
    <w:rsid w:val="00480A68"/>
    <w:rsid w:val="004825C6"/>
    <w:rsid w:val="00482A2E"/>
    <w:rsid w:val="00482D2C"/>
    <w:rsid w:val="004831F5"/>
    <w:rsid w:val="0048603F"/>
    <w:rsid w:val="004860D4"/>
    <w:rsid w:val="0048713D"/>
    <w:rsid w:val="0049271B"/>
    <w:rsid w:val="00493A95"/>
    <w:rsid w:val="00493CB8"/>
    <w:rsid w:val="0049422D"/>
    <w:rsid w:val="004948E5"/>
    <w:rsid w:val="00496172"/>
    <w:rsid w:val="0049741F"/>
    <w:rsid w:val="004A12A5"/>
    <w:rsid w:val="004A1D31"/>
    <w:rsid w:val="004A221A"/>
    <w:rsid w:val="004A2541"/>
    <w:rsid w:val="004A3CD8"/>
    <w:rsid w:val="004A43F1"/>
    <w:rsid w:val="004A465A"/>
    <w:rsid w:val="004A5B86"/>
    <w:rsid w:val="004A6B1B"/>
    <w:rsid w:val="004B0058"/>
    <w:rsid w:val="004B066E"/>
    <w:rsid w:val="004B3490"/>
    <w:rsid w:val="004B34A0"/>
    <w:rsid w:val="004B39A4"/>
    <w:rsid w:val="004B3B70"/>
    <w:rsid w:val="004B418A"/>
    <w:rsid w:val="004B4CD9"/>
    <w:rsid w:val="004B4E74"/>
    <w:rsid w:val="004C0D8F"/>
    <w:rsid w:val="004C1410"/>
    <w:rsid w:val="004C271C"/>
    <w:rsid w:val="004C458C"/>
    <w:rsid w:val="004C498C"/>
    <w:rsid w:val="004C54F3"/>
    <w:rsid w:val="004C5531"/>
    <w:rsid w:val="004C58A1"/>
    <w:rsid w:val="004C59F4"/>
    <w:rsid w:val="004C601F"/>
    <w:rsid w:val="004C6D1D"/>
    <w:rsid w:val="004D0D2E"/>
    <w:rsid w:val="004D231C"/>
    <w:rsid w:val="004D372F"/>
    <w:rsid w:val="004D4489"/>
    <w:rsid w:val="004D598A"/>
    <w:rsid w:val="004D5AB8"/>
    <w:rsid w:val="004D6D16"/>
    <w:rsid w:val="004E0424"/>
    <w:rsid w:val="004E04BA"/>
    <w:rsid w:val="004E1907"/>
    <w:rsid w:val="004E2B5F"/>
    <w:rsid w:val="004E2DFC"/>
    <w:rsid w:val="004E36D2"/>
    <w:rsid w:val="004E46B8"/>
    <w:rsid w:val="004E4DB0"/>
    <w:rsid w:val="004E5094"/>
    <w:rsid w:val="004E6FC7"/>
    <w:rsid w:val="004F0B11"/>
    <w:rsid w:val="004F0C72"/>
    <w:rsid w:val="004F14CF"/>
    <w:rsid w:val="004F1D20"/>
    <w:rsid w:val="004F275F"/>
    <w:rsid w:val="004F2CA0"/>
    <w:rsid w:val="004F2FB6"/>
    <w:rsid w:val="004F3442"/>
    <w:rsid w:val="004F3AB1"/>
    <w:rsid w:val="004F4717"/>
    <w:rsid w:val="004F49DF"/>
    <w:rsid w:val="004F5661"/>
    <w:rsid w:val="0050082A"/>
    <w:rsid w:val="005009E9"/>
    <w:rsid w:val="00500D70"/>
    <w:rsid w:val="005012C3"/>
    <w:rsid w:val="00501A8D"/>
    <w:rsid w:val="00503F53"/>
    <w:rsid w:val="00504A07"/>
    <w:rsid w:val="00504F13"/>
    <w:rsid w:val="005055E2"/>
    <w:rsid w:val="00505A82"/>
    <w:rsid w:val="00506730"/>
    <w:rsid w:val="00510721"/>
    <w:rsid w:val="00512413"/>
    <w:rsid w:val="00513B28"/>
    <w:rsid w:val="00513B4C"/>
    <w:rsid w:val="0051510A"/>
    <w:rsid w:val="00515EAC"/>
    <w:rsid w:val="00516D4D"/>
    <w:rsid w:val="00520A3D"/>
    <w:rsid w:val="0052201F"/>
    <w:rsid w:val="00522993"/>
    <w:rsid w:val="00523650"/>
    <w:rsid w:val="00524C59"/>
    <w:rsid w:val="00524F0F"/>
    <w:rsid w:val="0052524E"/>
    <w:rsid w:val="00526DB0"/>
    <w:rsid w:val="00527525"/>
    <w:rsid w:val="00527EA5"/>
    <w:rsid w:val="00530297"/>
    <w:rsid w:val="00530983"/>
    <w:rsid w:val="005318AC"/>
    <w:rsid w:val="00533161"/>
    <w:rsid w:val="00533CD5"/>
    <w:rsid w:val="00534A5F"/>
    <w:rsid w:val="00534FA9"/>
    <w:rsid w:val="00535096"/>
    <w:rsid w:val="0053534C"/>
    <w:rsid w:val="005359CF"/>
    <w:rsid w:val="00537383"/>
    <w:rsid w:val="00540759"/>
    <w:rsid w:val="00541092"/>
    <w:rsid w:val="005435B4"/>
    <w:rsid w:val="00543602"/>
    <w:rsid w:val="00543942"/>
    <w:rsid w:val="00544822"/>
    <w:rsid w:val="00544916"/>
    <w:rsid w:val="00544CE7"/>
    <w:rsid w:val="00545E03"/>
    <w:rsid w:val="005466E7"/>
    <w:rsid w:val="00546FE1"/>
    <w:rsid w:val="0054787C"/>
    <w:rsid w:val="00550307"/>
    <w:rsid w:val="005523A5"/>
    <w:rsid w:val="00553D8A"/>
    <w:rsid w:val="00553DF3"/>
    <w:rsid w:val="005545CA"/>
    <w:rsid w:val="005547CB"/>
    <w:rsid w:val="005553A6"/>
    <w:rsid w:val="00555589"/>
    <w:rsid w:val="00557001"/>
    <w:rsid w:val="00557109"/>
    <w:rsid w:val="00560666"/>
    <w:rsid w:val="00561DF9"/>
    <w:rsid w:val="005625DA"/>
    <w:rsid w:val="00562906"/>
    <w:rsid w:val="00563723"/>
    <w:rsid w:val="00564120"/>
    <w:rsid w:val="00564223"/>
    <w:rsid w:val="0056449C"/>
    <w:rsid w:val="00564670"/>
    <w:rsid w:val="00565391"/>
    <w:rsid w:val="0056648C"/>
    <w:rsid w:val="00566B0A"/>
    <w:rsid w:val="00567468"/>
    <w:rsid w:val="00570C03"/>
    <w:rsid w:val="00571E6F"/>
    <w:rsid w:val="0057229C"/>
    <w:rsid w:val="0057545A"/>
    <w:rsid w:val="00582CDD"/>
    <w:rsid w:val="00583BF5"/>
    <w:rsid w:val="00584981"/>
    <w:rsid w:val="00584AB0"/>
    <w:rsid w:val="005850D3"/>
    <w:rsid w:val="00585D9E"/>
    <w:rsid w:val="005863FA"/>
    <w:rsid w:val="00587141"/>
    <w:rsid w:val="005905B6"/>
    <w:rsid w:val="00590D09"/>
    <w:rsid w:val="00593163"/>
    <w:rsid w:val="0059489F"/>
    <w:rsid w:val="00597605"/>
    <w:rsid w:val="005A0148"/>
    <w:rsid w:val="005A1464"/>
    <w:rsid w:val="005A17D7"/>
    <w:rsid w:val="005A311E"/>
    <w:rsid w:val="005A3510"/>
    <w:rsid w:val="005A3BD4"/>
    <w:rsid w:val="005A418F"/>
    <w:rsid w:val="005A4BDE"/>
    <w:rsid w:val="005A50F1"/>
    <w:rsid w:val="005A5B48"/>
    <w:rsid w:val="005A6270"/>
    <w:rsid w:val="005A670E"/>
    <w:rsid w:val="005B052F"/>
    <w:rsid w:val="005B246B"/>
    <w:rsid w:val="005B6B8A"/>
    <w:rsid w:val="005B7704"/>
    <w:rsid w:val="005B7DB6"/>
    <w:rsid w:val="005C028B"/>
    <w:rsid w:val="005C088A"/>
    <w:rsid w:val="005C387E"/>
    <w:rsid w:val="005C3A92"/>
    <w:rsid w:val="005C4749"/>
    <w:rsid w:val="005C4DDA"/>
    <w:rsid w:val="005C5316"/>
    <w:rsid w:val="005C5373"/>
    <w:rsid w:val="005C574B"/>
    <w:rsid w:val="005C60DA"/>
    <w:rsid w:val="005C6B38"/>
    <w:rsid w:val="005C6C7B"/>
    <w:rsid w:val="005C7389"/>
    <w:rsid w:val="005D03EB"/>
    <w:rsid w:val="005D0A3E"/>
    <w:rsid w:val="005D0DFC"/>
    <w:rsid w:val="005D141B"/>
    <w:rsid w:val="005D1649"/>
    <w:rsid w:val="005D2BBE"/>
    <w:rsid w:val="005D2F78"/>
    <w:rsid w:val="005D3971"/>
    <w:rsid w:val="005D4D5B"/>
    <w:rsid w:val="005D4DB9"/>
    <w:rsid w:val="005D5475"/>
    <w:rsid w:val="005D59EE"/>
    <w:rsid w:val="005D5B82"/>
    <w:rsid w:val="005D6104"/>
    <w:rsid w:val="005D73E0"/>
    <w:rsid w:val="005E005F"/>
    <w:rsid w:val="005E01A5"/>
    <w:rsid w:val="005E241B"/>
    <w:rsid w:val="005E2761"/>
    <w:rsid w:val="005E2DC9"/>
    <w:rsid w:val="005E3697"/>
    <w:rsid w:val="005E5AEA"/>
    <w:rsid w:val="005E62EE"/>
    <w:rsid w:val="005E656F"/>
    <w:rsid w:val="005E7CC1"/>
    <w:rsid w:val="005E7E90"/>
    <w:rsid w:val="005F0ED9"/>
    <w:rsid w:val="005F25E2"/>
    <w:rsid w:val="005F3B59"/>
    <w:rsid w:val="005F3D5B"/>
    <w:rsid w:val="005F3F89"/>
    <w:rsid w:val="005F4CA9"/>
    <w:rsid w:val="005F5152"/>
    <w:rsid w:val="005F5983"/>
    <w:rsid w:val="005F5D88"/>
    <w:rsid w:val="005F7002"/>
    <w:rsid w:val="005F7AF9"/>
    <w:rsid w:val="00600B05"/>
    <w:rsid w:val="00601CB0"/>
    <w:rsid w:val="00601DE4"/>
    <w:rsid w:val="006020B9"/>
    <w:rsid w:val="00602502"/>
    <w:rsid w:val="00602B2F"/>
    <w:rsid w:val="006031A1"/>
    <w:rsid w:val="00603490"/>
    <w:rsid w:val="006041EB"/>
    <w:rsid w:val="006075B6"/>
    <w:rsid w:val="00607A8C"/>
    <w:rsid w:val="00610AA9"/>
    <w:rsid w:val="00611EDB"/>
    <w:rsid w:val="00613500"/>
    <w:rsid w:val="00614E96"/>
    <w:rsid w:val="00615991"/>
    <w:rsid w:val="00615AC0"/>
    <w:rsid w:val="00616EAC"/>
    <w:rsid w:val="00620DF5"/>
    <w:rsid w:val="006211BE"/>
    <w:rsid w:val="0062265C"/>
    <w:rsid w:val="00623478"/>
    <w:rsid w:val="00623533"/>
    <w:rsid w:val="006255C0"/>
    <w:rsid w:val="00625A33"/>
    <w:rsid w:val="00626C4A"/>
    <w:rsid w:val="00627E56"/>
    <w:rsid w:val="006311B0"/>
    <w:rsid w:val="00631282"/>
    <w:rsid w:val="00632057"/>
    <w:rsid w:val="00632180"/>
    <w:rsid w:val="006333F3"/>
    <w:rsid w:val="006342D7"/>
    <w:rsid w:val="00634BE3"/>
    <w:rsid w:val="00636000"/>
    <w:rsid w:val="006360FB"/>
    <w:rsid w:val="00636621"/>
    <w:rsid w:val="006379A0"/>
    <w:rsid w:val="006401F8"/>
    <w:rsid w:val="0064023D"/>
    <w:rsid w:val="0064054E"/>
    <w:rsid w:val="00640798"/>
    <w:rsid w:val="00640D86"/>
    <w:rsid w:val="0064125E"/>
    <w:rsid w:val="006412A0"/>
    <w:rsid w:val="00643571"/>
    <w:rsid w:val="00645924"/>
    <w:rsid w:val="00646AAC"/>
    <w:rsid w:val="00647615"/>
    <w:rsid w:val="00650244"/>
    <w:rsid w:val="00650634"/>
    <w:rsid w:val="006516CE"/>
    <w:rsid w:val="00655F43"/>
    <w:rsid w:val="00656CDA"/>
    <w:rsid w:val="00657A2A"/>
    <w:rsid w:val="00660C43"/>
    <w:rsid w:val="00661068"/>
    <w:rsid w:val="00661AE6"/>
    <w:rsid w:val="00661B40"/>
    <w:rsid w:val="00661D41"/>
    <w:rsid w:val="0066277C"/>
    <w:rsid w:val="00664E95"/>
    <w:rsid w:val="00664EDC"/>
    <w:rsid w:val="00665957"/>
    <w:rsid w:val="00666B16"/>
    <w:rsid w:val="00667035"/>
    <w:rsid w:val="006673B8"/>
    <w:rsid w:val="006673C3"/>
    <w:rsid w:val="00667B0B"/>
    <w:rsid w:val="00667F25"/>
    <w:rsid w:val="00670D42"/>
    <w:rsid w:val="006710E7"/>
    <w:rsid w:val="00672B62"/>
    <w:rsid w:val="00672E68"/>
    <w:rsid w:val="006734BF"/>
    <w:rsid w:val="00673751"/>
    <w:rsid w:val="00673BDE"/>
    <w:rsid w:val="00674499"/>
    <w:rsid w:val="0067549A"/>
    <w:rsid w:val="00683499"/>
    <w:rsid w:val="006834CB"/>
    <w:rsid w:val="00683995"/>
    <w:rsid w:val="00683A8C"/>
    <w:rsid w:val="00683AC9"/>
    <w:rsid w:val="006843B3"/>
    <w:rsid w:val="00684436"/>
    <w:rsid w:val="00684C59"/>
    <w:rsid w:val="0068569E"/>
    <w:rsid w:val="0068652F"/>
    <w:rsid w:val="006865B9"/>
    <w:rsid w:val="00686FD8"/>
    <w:rsid w:val="006925A0"/>
    <w:rsid w:val="006948AF"/>
    <w:rsid w:val="00694946"/>
    <w:rsid w:val="00695098"/>
    <w:rsid w:val="006953FD"/>
    <w:rsid w:val="00695CBF"/>
    <w:rsid w:val="00696C29"/>
    <w:rsid w:val="00696F58"/>
    <w:rsid w:val="006A0628"/>
    <w:rsid w:val="006A13D6"/>
    <w:rsid w:val="006A2493"/>
    <w:rsid w:val="006A5069"/>
    <w:rsid w:val="006A65FB"/>
    <w:rsid w:val="006A7B81"/>
    <w:rsid w:val="006A7E58"/>
    <w:rsid w:val="006B058B"/>
    <w:rsid w:val="006B11BD"/>
    <w:rsid w:val="006B191A"/>
    <w:rsid w:val="006B1FED"/>
    <w:rsid w:val="006B6D62"/>
    <w:rsid w:val="006B7840"/>
    <w:rsid w:val="006B7AC2"/>
    <w:rsid w:val="006B7E7B"/>
    <w:rsid w:val="006C0AB0"/>
    <w:rsid w:val="006C15B9"/>
    <w:rsid w:val="006C2DF5"/>
    <w:rsid w:val="006C2F5B"/>
    <w:rsid w:val="006C36F2"/>
    <w:rsid w:val="006C5316"/>
    <w:rsid w:val="006C5489"/>
    <w:rsid w:val="006C5522"/>
    <w:rsid w:val="006C6752"/>
    <w:rsid w:val="006C6A49"/>
    <w:rsid w:val="006C6E57"/>
    <w:rsid w:val="006C7172"/>
    <w:rsid w:val="006D04B8"/>
    <w:rsid w:val="006D3403"/>
    <w:rsid w:val="006D5217"/>
    <w:rsid w:val="006D52F2"/>
    <w:rsid w:val="006D5812"/>
    <w:rsid w:val="006D743B"/>
    <w:rsid w:val="006D76B0"/>
    <w:rsid w:val="006E0E82"/>
    <w:rsid w:val="006E22F2"/>
    <w:rsid w:val="006E4D1B"/>
    <w:rsid w:val="006E4F01"/>
    <w:rsid w:val="006E53CC"/>
    <w:rsid w:val="006E6D0D"/>
    <w:rsid w:val="006E7CC6"/>
    <w:rsid w:val="006F00FD"/>
    <w:rsid w:val="006F1E8A"/>
    <w:rsid w:val="006F283E"/>
    <w:rsid w:val="006F5428"/>
    <w:rsid w:val="006F638F"/>
    <w:rsid w:val="00700965"/>
    <w:rsid w:val="0070101D"/>
    <w:rsid w:val="007056C4"/>
    <w:rsid w:val="007060DD"/>
    <w:rsid w:val="00707030"/>
    <w:rsid w:val="007076B5"/>
    <w:rsid w:val="00707D43"/>
    <w:rsid w:val="00710827"/>
    <w:rsid w:val="00710BFE"/>
    <w:rsid w:val="00710E62"/>
    <w:rsid w:val="0071138F"/>
    <w:rsid w:val="007119AC"/>
    <w:rsid w:val="0071285B"/>
    <w:rsid w:val="00714896"/>
    <w:rsid w:val="007162AA"/>
    <w:rsid w:val="007169DA"/>
    <w:rsid w:val="00720F6F"/>
    <w:rsid w:val="0072101B"/>
    <w:rsid w:val="0072278B"/>
    <w:rsid w:val="00723190"/>
    <w:rsid w:val="0072614D"/>
    <w:rsid w:val="0072620A"/>
    <w:rsid w:val="0072778D"/>
    <w:rsid w:val="007302CA"/>
    <w:rsid w:val="007303D8"/>
    <w:rsid w:val="007325E6"/>
    <w:rsid w:val="00733B12"/>
    <w:rsid w:val="00734160"/>
    <w:rsid w:val="007343AD"/>
    <w:rsid w:val="00734C63"/>
    <w:rsid w:val="0073552E"/>
    <w:rsid w:val="0073587F"/>
    <w:rsid w:val="00735CF5"/>
    <w:rsid w:val="00736F55"/>
    <w:rsid w:val="00737316"/>
    <w:rsid w:val="00740FA2"/>
    <w:rsid w:val="00741D89"/>
    <w:rsid w:val="0074285C"/>
    <w:rsid w:val="0074358C"/>
    <w:rsid w:val="007444B9"/>
    <w:rsid w:val="00744D8B"/>
    <w:rsid w:val="00745401"/>
    <w:rsid w:val="00746063"/>
    <w:rsid w:val="007473D6"/>
    <w:rsid w:val="00747C4D"/>
    <w:rsid w:val="00751AF6"/>
    <w:rsid w:val="00751CF6"/>
    <w:rsid w:val="00753744"/>
    <w:rsid w:val="00753A0D"/>
    <w:rsid w:val="00754BDD"/>
    <w:rsid w:val="0075602B"/>
    <w:rsid w:val="00756898"/>
    <w:rsid w:val="00756F09"/>
    <w:rsid w:val="00760AF0"/>
    <w:rsid w:val="007612D9"/>
    <w:rsid w:val="0076345A"/>
    <w:rsid w:val="007634C0"/>
    <w:rsid w:val="0076374A"/>
    <w:rsid w:val="00763C8F"/>
    <w:rsid w:val="007662BC"/>
    <w:rsid w:val="00766AD2"/>
    <w:rsid w:val="00767A61"/>
    <w:rsid w:val="00770B6D"/>
    <w:rsid w:val="007711EE"/>
    <w:rsid w:val="0077396C"/>
    <w:rsid w:val="00775FF3"/>
    <w:rsid w:val="00776917"/>
    <w:rsid w:val="00780295"/>
    <w:rsid w:val="00783296"/>
    <w:rsid w:val="00783DC7"/>
    <w:rsid w:val="00784952"/>
    <w:rsid w:val="0078555B"/>
    <w:rsid w:val="007878FC"/>
    <w:rsid w:val="00787D7C"/>
    <w:rsid w:val="00790600"/>
    <w:rsid w:val="00791353"/>
    <w:rsid w:val="007923D4"/>
    <w:rsid w:val="00792A91"/>
    <w:rsid w:val="007931E3"/>
    <w:rsid w:val="007935C8"/>
    <w:rsid w:val="007949F5"/>
    <w:rsid w:val="00795EBB"/>
    <w:rsid w:val="007967B6"/>
    <w:rsid w:val="00796ED0"/>
    <w:rsid w:val="007972AB"/>
    <w:rsid w:val="00797E53"/>
    <w:rsid w:val="007A1BE2"/>
    <w:rsid w:val="007A1FDE"/>
    <w:rsid w:val="007A2AA4"/>
    <w:rsid w:val="007A3FE9"/>
    <w:rsid w:val="007A48A9"/>
    <w:rsid w:val="007A5246"/>
    <w:rsid w:val="007A56BD"/>
    <w:rsid w:val="007A5B59"/>
    <w:rsid w:val="007A6356"/>
    <w:rsid w:val="007A644E"/>
    <w:rsid w:val="007A740E"/>
    <w:rsid w:val="007B0FA1"/>
    <w:rsid w:val="007B3409"/>
    <w:rsid w:val="007B41E0"/>
    <w:rsid w:val="007B43C4"/>
    <w:rsid w:val="007B4E6F"/>
    <w:rsid w:val="007B51DA"/>
    <w:rsid w:val="007B5722"/>
    <w:rsid w:val="007B62D5"/>
    <w:rsid w:val="007B6B81"/>
    <w:rsid w:val="007B6F93"/>
    <w:rsid w:val="007B72DF"/>
    <w:rsid w:val="007B746E"/>
    <w:rsid w:val="007B7474"/>
    <w:rsid w:val="007C4C06"/>
    <w:rsid w:val="007C6274"/>
    <w:rsid w:val="007D1720"/>
    <w:rsid w:val="007D1FB5"/>
    <w:rsid w:val="007D491B"/>
    <w:rsid w:val="007E03EA"/>
    <w:rsid w:val="007E163C"/>
    <w:rsid w:val="007E1C61"/>
    <w:rsid w:val="007E219F"/>
    <w:rsid w:val="007E3BC7"/>
    <w:rsid w:val="007E40A5"/>
    <w:rsid w:val="007E4CFE"/>
    <w:rsid w:val="007F0772"/>
    <w:rsid w:val="007F0C55"/>
    <w:rsid w:val="007F1A67"/>
    <w:rsid w:val="007F287A"/>
    <w:rsid w:val="007F396F"/>
    <w:rsid w:val="007F61E6"/>
    <w:rsid w:val="007F76F1"/>
    <w:rsid w:val="007F788D"/>
    <w:rsid w:val="007F7A01"/>
    <w:rsid w:val="008013F9"/>
    <w:rsid w:val="00801756"/>
    <w:rsid w:val="0080298E"/>
    <w:rsid w:val="0080300C"/>
    <w:rsid w:val="00803F18"/>
    <w:rsid w:val="00804698"/>
    <w:rsid w:val="00804D2F"/>
    <w:rsid w:val="00804DD4"/>
    <w:rsid w:val="008067F2"/>
    <w:rsid w:val="00806AF8"/>
    <w:rsid w:val="00807276"/>
    <w:rsid w:val="00810DC7"/>
    <w:rsid w:val="00811443"/>
    <w:rsid w:val="00812AC5"/>
    <w:rsid w:val="00813F32"/>
    <w:rsid w:val="00815D3B"/>
    <w:rsid w:val="00816D36"/>
    <w:rsid w:val="008211E8"/>
    <w:rsid w:val="00821E7B"/>
    <w:rsid w:val="00822FF1"/>
    <w:rsid w:val="00824B5F"/>
    <w:rsid w:val="008261E7"/>
    <w:rsid w:val="00826402"/>
    <w:rsid w:val="00826AA8"/>
    <w:rsid w:val="00827EBA"/>
    <w:rsid w:val="008304FC"/>
    <w:rsid w:val="0083139B"/>
    <w:rsid w:val="0083149C"/>
    <w:rsid w:val="008323D9"/>
    <w:rsid w:val="00832982"/>
    <w:rsid w:val="008357FC"/>
    <w:rsid w:val="008359C1"/>
    <w:rsid w:val="0083676C"/>
    <w:rsid w:val="00837409"/>
    <w:rsid w:val="00837776"/>
    <w:rsid w:val="00837AD5"/>
    <w:rsid w:val="00837F5F"/>
    <w:rsid w:val="00840FDB"/>
    <w:rsid w:val="00841166"/>
    <w:rsid w:val="008423E9"/>
    <w:rsid w:val="00843EF9"/>
    <w:rsid w:val="00846122"/>
    <w:rsid w:val="008475EF"/>
    <w:rsid w:val="00850B0F"/>
    <w:rsid w:val="00851F0E"/>
    <w:rsid w:val="008526C3"/>
    <w:rsid w:val="0085340E"/>
    <w:rsid w:val="008554A2"/>
    <w:rsid w:val="00861FB7"/>
    <w:rsid w:val="00863B1A"/>
    <w:rsid w:val="008641A6"/>
    <w:rsid w:val="008641FE"/>
    <w:rsid w:val="008665B6"/>
    <w:rsid w:val="00866C03"/>
    <w:rsid w:val="00867CC3"/>
    <w:rsid w:val="00870674"/>
    <w:rsid w:val="00871B4C"/>
    <w:rsid w:val="00871FC7"/>
    <w:rsid w:val="008725DF"/>
    <w:rsid w:val="00872AEC"/>
    <w:rsid w:val="00873027"/>
    <w:rsid w:val="008735F3"/>
    <w:rsid w:val="00874AFB"/>
    <w:rsid w:val="00874B2C"/>
    <w:rsid w:val="0087568E"/>
    <w:rsid w:val="00875692"/>
    <w:rsid w:val="0087596E"/>
    <w:rsid w:val="0087624A"/>
    <w:rsid w:val="00876782"/>
    <w:rsid w:val="00876CCE"/>
    <w:rsid w:val="008804C5"/>
    <w:rsid w:val="00880662"/>
    <w:rsid w:val="00880BF1"/>
    <w:rsid w:val="00880D3A"/>
    <w:rsid w:val="0088123D"/>
    <w:rsid w:val="0088223D"/>
    <w:rsid w:val="008838C3"/>
    <w:rsid w:val="0088394C"/>
    <w:rsid w:val="008839F3"/>
    <w:rsid w:val="00883ACF"/>
    <w:rsid w:val="00884F93"/>
    <w:rsid w:val="00886D8F"/>
    <w:rsid w:val="0088723C"/>
    <w:rsid w:val="00890174"/>
    <w:rsid w:val="00890808"/>
    <w:rsid w:val="00890A78"/>
    <w:rsid w:val="00890DDB"/>
    <w:rsid w:val="00892C7A"/>
    <w:rsid w:val="008942D8"/>
    <w:rsid w:val="008963B0"/>
    <w:rsid w:val="008A176E"/>
    <w:rsid w:val="008A2244"/>
    <w:rsid w:val="008A2A22"/>
    <w:rsid w:val="008A2ACB"/>
    <w:rsid w:val="008A36D0"/>
    <w:rsid w:val="008A3CC8"/>
    <w:rsid w:val="008A4953"/>
    <w:rsid w:val="008A6A47"/>
    <w:rsid w:val="008A6AA9"/>
    <w:rsid w:val="008B0BC1"/>
    <w:rsid w:val="008B0FC5"/>
    <w:rsid w:val="008B36CF"/>
    <w:rsid w:val="008B3710"/>
    <w:rsid w:val="008B3754"/>
    <w:rsid w:val="008B3D4C"/>
    <w:rsid w:val="008B5E35"/>
    <w:rsid w:val="008B6274"/>
    <w:rsid w:val="008B6BCC"/>
    <w:rsid w:val="008B6C2C"/>
    <w:rsid w:val="008C0217"/>
    <w:rsid w:val="008C062E"/>
    <w:rsid w:val="008C3835"/>
    <w:rsid w:val="008C43D8"/>
    <w:rsid w:val="008C4B44"/>
    <w:rsid w:val="008C533A"/>
    <w:rsid w:val="008C6061"/>
    <w:rsid w:val="008C64BB"/>
    <w:rsid w:val="008C7C4A"/>
    <w:rsid w:val="008D17BE"/>
    <w:rsid w:val="008D1DF2"/>
    <w:rsid w:val="008D1F0E"/>
    <w:rsid w:val="008D24F6"/>
    <w:rsid w:val="008D2C73"/>
    <w:rsid w:val="008D2EF5"/>
    <w:rsid w:val="008D36E1"/>
    <w:rsid w:val="008D7442"/>
    <w:rsid w:val="008D773D"/>
    <w:rsid w:val="008D7A7F"/>
    <w:rsid w:val="008D7ED3"/>
    <w:rsid w:val="008D7FD6"/>
    <w:rsid w:val="008E1098"/>
    <w:rsid w:val="008E1672"/>
    <w:rsid w:val="008E2139"/>
    <w:rsid w:val="008E21B2"/>
    <w:rsid w:val="008E461B"/>
    <w:rsid w:val="008E495B"/>
    <w:rsid w:val="008E4E15"/>
    <w:rsid w:val="008E583C"/>
    <w:rsid w:val="008E58A2"/>
    <w:rsid w:val="008E5D65"/>
    <w:rsid w:val="008E71D3"/>
    <w:rsid w:val="008F1730"/>
    <w:rsid w:val="008F1D92"/>
    <w:rsid w:val="008F1FD8"/>
    <w:rsid w:val="008F3085"/>
    <w:rsid w:val="008F38F3"/>
    <w:rsid w:val="008F4569"/>
    <w:rsid w:val="008F4E5B"/>
    <w:rsid w:val="008F5EF8"/>
    <w:rsid w:val="008F6588"/>
    <w:rsid w:val="008F712B"/>
    <w:rsid w:val="00900705"/>
    <w:rsid w:val="009010D2"/>
    <w:rsid w:val="00901458"/>
    <w:rsid w:val="0090149B"/>
    <w:rsid w:val="00901B5C"/>
    <w:rsid w:val="009025B3"/>
    <w:rsid w:val="0090292B"/>
    <w:rsid w:val="009030C4"/>
    <w:rsid w:val="009040C0"/>
    <w:rsid w:val="0090438F"/>
    <w:rsid w:val="00904E24"/>
    <w:rsid w:val="00904F92"/>
    <w:rsid w:val="0091022D"/>
    <w:rsid w:val="00910323"/>
    <w:rsid w:val="00912158"/>
    <w:rsid w:val="009122ED"/>
    <w:rsid w:val="009129EB"/>
    <w:rsid w:val="00913FE0"/>
    <w:rsid w:val="009146AE"/>
    <w:rsid w:val="00915E1B"/>
    <w:rsid w:val="00915F88"/>
    <w:rsid w:val="00917729"/>
    <w:rsid w:val="00920252"/>
    <w:rsid w:val="009213B8"/>
    <w:rsid w:val="009218ED"/>
    <w:rsid w:val="0092231D"/>
    <w:rsid w:val="00924C53"/>
    <w:rsid w:val="00926329"/>
    <w:rsid w:val="009267C9"/>
    <w:rsid w:val="009268B6"/>
    <w:rsid w:val="009314F4"/>
    <w:rsid w:val="00931978"/>
    <w:rsid w:val="00931A41"/>
    <w:rsid w:val="009320C3"/>
    <w:rsid w:val="009327D6"/>
    <w:rsid w:val="00932B9D"/>
    <w:rsid w:val="00933DB8"/>
    <w:rsid w:val="0093467D"/>
    <w:rsid w:val="00935616"/>
    <w:rsid w:val="009368E4"/>
    <w:rsid w:val="00937584"/>
    <w:rsid w:val="0093789A"/>
    <w:rsid w:val="009428F0"/>
    <w:rsid w:val="00944204"/>
    <w:rsid w:val="00944B52"/>
    <w:rsid w:val="0094545D"/>
    <w:rsid w:val="00946904"/>
    <w:rsid w:val="0094795C"/>
    <w:rsid w:val="0095010C"/>
    <w:rsid w:val="00950C95"/>
    <w:rsid w:val="00951F4D"/>
    <w:rsid w:val="00953778"/>
    <w:rsid w:val="0095669E"/>
    <w:rsid w:val="00957173"/>
    <w:rsid w:val="0096183A"/>
    <w:rsid w:val="00962C44"/>
    <w:rsid w:val="0096300C"/>
    <w:rsid w:val="00967588"/>
    <w:rsid w:val="009715A2"/>
    <w:rsid w:val="00974A3B"/>
    <w:rsid w:val="009763CE"/>
    <w:rsid w:val="00976A7D"/>
    <w:rsid w:val="00977000"/>
    <w:rsid w:val="0098000D"/>
    <w:rsid w:val="00980D2E"/>
    <w:rsid w:val="0098151A"/>
    <w:rsid w:val="00981671"/>
    <w:rsid w:val="00981F08"/>
    <w:rsid w:val="00985316"/>
    <w:rsid w:val="00986EEE"/>
    <w:rsid w:val="00990AF5"/>
    <w:rsid w:val="00993DFD"/>
    <w:rsid w:val="00993F0B"/>
    <w:rsid w:val="00994EA5"/>
    <w:rsid w:val="009973CB"/>
    <w:rsid w:val="00997E3E"/>
    <w:rsid w:val="009A06D0"/>
    <w:rsid w:val="009A2363"/>
    <w:rsid w:val="009A2751"/>
    <w:rsid w:val="009A2B5B"/>
    <w:rsid w:val="009A5343"/>
    <w:rsid w:val="009A6040"/>
    <w:rsid w:val="009A711F"/>
    <w:rsid w:val="009B178D"/>
    <w:rsid w:val="009B3669"/>
    <w:rsid w:val="009B36C5"/>
    <w:rsid w:val="009B4CDE"/>
    <w:rsid w:val="009B4D59"/>
    <w:rsid w:val="009B515B"/>
    <w:rsid w:val="009B65C9"/>
    <w:rsid w:val="009B6F85"/>
    <w:rsid w:val="009C0A6D"/>
    <w:rsid w:val="009C1438"/>
    <w:rsid w:val="009C2E56"/>
    <w:rsid w:val="009C65C7"/>
    <w:rsid w:val="009C7063"/>
    <w:rsid w:val="009C73E8"/>
    <w:rsid w:val="009D50A3"/>
    <w:rsid w:val="009D661E"/>
    <w:rsid w:val="009D6747"/>
    <w:rsid w:val="009D7A4F"/>
    <w:rsid w:val="009E0D5F"/>
    <w:rsid w:val="009E1499"/>
    <w:rsid w:val="009E1D51"/>
    <w:rsid w:val="009E2076"/>
    <w:rsid w:val="009E36A7"/>
    <w:rsid w:val="009E5D82"/>
    <w:rsid w:val="009E65D5"/>
    <w:rsid w:val="009E67E3"/>
    <w:rsid w:val="009F116F"/>
    <w:rsid w:val="009F14C7"/>
    <w:rsid w:val="009F2D03"/>
    <w:rsid w:val="009F3958"/>
    <w:rsid w:val="009F4573"/>
    <w:rsid w:val="009F4971"/>
    <w:rsid w:val="009F4BFE"/>
    <w:rsid w:val="009F5F7B"/>
    <w:rsid w:val="009F6383"/>
    <w:rsid w:val="009F674C"/>
    <w:rsid w:val="009F6D43"/>
    <w:rsid w:val="009F7AFF"/>
    <w:rsid w:val="00A00DF0"/>
    <w:rsid w:val="00A020EE"/>
    <w:rsid w:val="00A02490"/>
    <w:rsid w:val="00A038A9"/>
    <w:rsid w:val="00A04AE8"/>
    <w:rsid w:val="00A05C79"/>
    <w:rsid w:val="00A060BB"/>
    <w:rsid w:val="00A06D84"/>
    <w:rsid w:val="00A10A8F"/>
    <w:rsid w:val="00A118F9"/>
    <w:rsid w:val="00A1193B"/>
    <w:rsid w:val="00A1208E"/>
    <w:rsid w:val="00A13EEF"/>
    <w:rsid w:val="00A14300"/>
    <w:rsid w:val="00A14F67"/>
    <w:rsid w:val="00A1541A"/>
    <w:rsid w:val="00A15F0B"/>
    <w:rsid w:val="00A16860"/>
    <w:rsid w:val="00A1786E"/>
    <w:rsid w:val="00A17D14"/>
    <w:rsid w:val="00A2019F"/>
    <w:rsid w:val="00A21272"/>
    <w:rsid w:val="00A2151D"/>
    <w:rsid w:val="00A21D59"/>
    <w:rsid w:val="00A22BC4"/>
    <w:rsid w:val="00A2316F"/>
    <w:rsid w:val="00A245FB"/>
    <w:rsid w:val="00A30C69"/>
    <w:rsid w:val="00A31B86"/>
    <w:rsid w:val="00A31BC2"/>
    <w:rsid w:val="00A31D41"/>
    <w:rsid w:val="00A32B92"/>
    <w:rsid w:val="00A32E66"/>
    <w:rsid w:val="00A32EAC"/>
    <w:rsid w:val="00A34CD3"/>
    <w:rsid w:val="00A34D07"/>
    <w:rsid w:val="00A352B3"/>
    <w:rsid w:val="00A36C65"/>
    <w:rsid w:val="00A37646"/>
    <w:rsid w:val="00A37882"/>
    <w:rsid w:val="00A37E9F"/>
    <w:rsid w:val="00A43F1B"/>
    <w:rsid w:val="00A4604E"/>
    <w:rsid w:val="00A46F71"/>
    <w:rsid w:val="00A47A04"/>
    <w:rsid w:val="00A5037F"/>
    <w:rsid w:val="00A5234E"/>
    <w:rsid w:val="00A538A3"/>
    <w:rsid w:val="00A53AAB"/>
    <w:rsid w:val="00A544D6"/>
    <w:rsid w:val="00A5480C"/>
    <w:rsid w:val="00A5645A"/>
    <w:rsid w:val="00A56A17"/>
    <w:rsid w:val="00A60E9E"/>
    <w:rsid w:val="00A628EF"/>
    <w:rsid w:val="00A62E16"/>
    <w:rsid w:val="00A63430"/>
    <w:rsid w:val="00A63764"/>
    <w:rsid w:val="00A65194"/>
    <w:rsid w:val="00A669EC"/>
    <w:rsid w:val="00A66E52"/>
    <w:rsid w:val="00A67299"/>
    <w:rsid w:val="00A67929"/>
    <w:rsid w:val="00A70DFF"/>
    <w:rsid w:val="00A74488"/>
    <w:rsid w:val="00A75435"/>
    <w:rsid w:val="00A758F1"/>
    <w:rsid w:val="00A771A5"/>
    <w:rsid w:val="00A80613"/>
    <w:rsid w:val="00A8147B"/>
    <w:rsid w:val="00A81674"/>
    <w:rsid w:val="00A84DD1"/>
    <w:rsid w:val="00A852CD"/>
    <w:rsid w:val="00A853EA"/>
    <w:rsid w:val="00A86A39"/>
    <w:rsid w:val="00A900CB"/>
    <w:rsid w:val="00A905F7"/>
    <w:rsid w:val="00A915AB"/>
    <w:rsid w:val="00A922B9"/>
    <w:rsid w:val="00A92D29"/>
    <w:rsid w:val="00A92FCB"/>
    <w:rsid w:val="00A93DFD"/>
    <w:rsid w:val="00A944C6"/>
    <w:rsid w:val="00A95B59"/>
    <w:rsid w:val="00A96896"/>
    <w:rsid w:val="00AA1006"/>
    <w:rsid w:val="00AA2516"/>
    <w:rsid w:val="00AA5A4E"/>
    <w:rsid w:val="00AA5EC4"/>
    <w:rsid w:val="00AA6984"/>
    <w:rsid w:val="00AA6CDF"/>
    <w:rsid w:val="00AA787C"/>
    <w:rsid w:val="00AA78A2"/>
    <w:rsid w:val="00AB0B38"/>
    <w:rsid w:val="00AB1300"/>
    <w:rsid w:val="00AB2AAF"/>
    <w:rsid w:val="00AB39FB"/>
    <w:rsid w:val="00AB3B34"/>
    <w:rsid w:val="00AB3EED"/>
    <w:rsid w:val="00AB47AA"/>
    <w:rsid w:val="00AB4A21"/>
    <w:rsid w:val="00AB535C"/>
    <w:rsid w:val="00AB6C79"/>
    <w:rsid w:val="00AB7342"/>
    <w:rsid w:val="00AB76CA"/>
    <w:rsid w:val="00AB76D3"/>
    <w:rsid w:val="00AB7D87"/>
    <w:rsid w:val="00AC196D"/>
    <w:rsid w:val="00AC2740"/>
    <w:rsid w:val="00AC6098"/>
    <w:rsid w:val="00AC6688"/>
    <w:rsid w:val="00AC6BE4"/>
    <w:rsid w:val="00AD006D"/>
    <w:rsid w:val="00AD025E"/>
    <w:rsid w:val="00AD0F4C"/>
    <w:rsid w:val="00AD1510"/>
    <w:rsid w:val="00AD159C"/>
    <w:rsid w:val="00AD34F3"/>
    <w:rsid w:val="00AD3BC8"/>
    <w:rsid w:val="00AD4911"/>
    <w:rsid w:val="00AD6640"/>
    <w:rsid w:val="00AD67BE"/>
    <w:rsid w:val="00AD6903"/>
    <w:rsid w:val="00AD7359"/>
    <w:rsid w:val="00AE006B"/>
    <w:rsid w:val="00AE070F"/>
    <w:rsid w:val="00AE147F"/>
    <w:rsid w:val="00AE174D"/>
    <w:rsid w:val="00AE1BCC"/>
    <w:rsid w:val="00AE2200"/>
    <w:rsid w:val="00AE2486"/>
    <w:rsid w:val="00AE2575"/>
    <w:rsid w:val="00AE4514"/>
    <w:rsid w:val="00AE5828"/>
    <w:rsid w:val="00AE7780"/>
    <w:rsid w:val="00AF1207"/>
    <w:rsid w:val="00AF1EE7"/>
    <w:rsid w:val="00AF36B0"/>
    <w:rsid w:val="00AF3F15"/>
    <w:rsid w:val="00AF5CE3"/>
    <w:rsid w:val="00AF660E"/>
    <w:rsid w:val="00AF7BDB"/>
    <w:rsid w:val="00AF7C69"/>
    <w:rsid w:val="00AF7F08"/>
    <w:rsid w:val="00B00A2F"/>
    <w:rsid w:val="00B00D37"/>
    <w:rsid w:val="00B01750"/>
    <w:rsid w:val="00B01E7B"/>
    <w:rsid w:val="00B02503"/>
    <w:rsid w:val="00B03ABC"/>
    <w:rsid w:val="00B1008D"/>
    <w:rsid w:val="00B12F15"/>
    <w:rsid w:val="00B14C9C"/>
    <w:rsid w:val="00B16F14"/>
    <w:rsid w:val="00B17D15"/>
    <w:rsid w:val="00B218E3"/>
    <w:rsid w:val="00B22FC0"/>
    <w:rsid w:val="00B25409"/>
    <w:rsid w:val="00B25A90"/>
    <w:rsid w:val="00B25BF5"/>
    <w:rsid w:val="00B262D6"/>
    <w:rsid w:val="00B273E0"/>
    <w:rsid w:val="00B328B9"/>
    <w:rsid w:val="00B332C1"/>
    <w:rsid w:val="00B336B1"/>
    <w:rsid w:val="00B3425A"/>
    <w:rsid w:val="00B3464E"/>
    <w:rsid w:val="00B350C8"/>
    <w:rsid w:val="00B355FA"/>
    <w:rsid w:val="00B358CA"/>
    <w:rsid w:val="00B363B3"/>
    <w:rsid w:val="00B40527"/>
    <w:rsid w:val="00B40C6A"/>
    <w:rsid w:val="00B4147E"/>
    <w:rsid w:val="00B416D5"/>
    <w:rsid w:val="00B419EF"/>
    <w:rsid w:val="00B425AE"/>
    <w:rsid w:val="00B43224"/>
    <w:rsid w:val="00B43378"/>
    <w:rsid w:val="00B448E6"/>
    <w:rsid w:val="00B4610A"/>
    <w:rsid w:val="00B4699E"/>
    <w:rsid w:val="00B51A41"/>
    <w:rsid w:val="00B51AD1"/>
    <w:rsid w:val="00B532D6"/>
    <w:rsid w:val="00B53935"/>
    <w:rsid w:val="00B53ACA"/>
    <w:rsid w:val="00B540FA"/>
    <w:rsid w:val="00B5412A"/>
    <w:rsid w:val="00B55C80"/>
    <w:rsid w:val="00B55F42"/>
    <w:rsid w:val="00B6083D"/>
    <w:rsid w:val="00B60F59"/>
    <w:rsid w:val="00B618D9"/>
    <w:rsid w:val="00B6218A"/>
    <w:rsid w:val="00B62D8B"/>
    <w:rsid w:val="00B6439E"/>
    <w:rsid w:val="00B64DD9"/>
    <w:rsid w:val="00B65CDF"/>
    <w:rsid w:val="00B6651F"/>
    <w:rsid w:val="00B66F5C"/>
    <w:rsid w:val="00B6733F"/>
    <w:rsid w:val="00B673AD"/>
    <w:rsid w:val="00B705AF"/>
    <w:rsid w:val="00B727FF"/>
    <w:rsid w:val="00B72836"/>
    <w:rsid w:val="00B72E20"/>
    <w:rsid w:val="00B73505"/>
    <w:rsid w:val="00B73522"/>
    <w:rsid w:val="00B73A6A"/>
    <w:rsid w:val="00B73E84"/>
    <w:rsid w:val="00B747F2"/>
    <w:rsid w:val="00B74C66"/>
    <w:rsid w:val="00B74E21"/>
    <w:rsid w:val="00B76692"/>
    <w:rsid w:val="00B76975"/>
    <w:rsid w:val="00B77DB6"/>
    <w:rsid w:val="00B802D6"/>
    <w:rsid w:val="00B8302E"/>
    <w:rsid w:val="00B83104"/>
    <w:rsid w:val="00B83327"/>
    <w:rsid w:val="00B84506"/>
    <w:rsid w:val="00B849C4"/>
    <w:rsid w:val="00B84B93"/>
    <w:rsid w:val="00B853EB"/>
    <w:rsid w:val="00B858E9"/>
    <w:rsid w:val="00B866CA"/>
    <w:rsid w:val="00B90184"/>
    <w:rsid w:val="00B90515"/>
    <w:rsid w:val="00B913A8"/>
    <w:rsid w:val="00B916D4"/>
    <w:rsid w:val="00B918EF"/>
    <w:rsid w:val="00B9196F"/>
    <w:rsid w:val="00B91DB4"/>
    <w:rsid w:val="00B94A96"/>
    <w:rsid w:val="00B9639A"/>
    <w:rsid w:val="00BA09AE"/>
    <w:rsid w:val="00BA16C5"/>
    <w:rsid w:val="00BA2CAB"/>
    <w:rsid w:val="00BA30D5"/>
    <w:rsid w:val="00BA40AA"/>
    <w:rsid w:val="00BB0557"/>
    <w:rsid w:val="00BB1279"/>
    <w:rsid w:val="00BB1AED"/>
    <w:rsid w:val="00BB1BF4"/>
    <w:rsid w:val="00BB20C3"/>
    <w:rsid w:val="00BB5D81"/>
    <w:rsid w:val="00BB65F9"/>
    <w:rsid w:val="00BB6DAD"/>
    <w:rsid w:val="00BB6F5A"/>
    <w:rsid w:val="00BB750F"/>
    <w:rsid w:val="00BB7AAA"/>
    <w:rsid w:val="00BC0CC0"/>
    <w:rsid w:val="00BC13BA"/>
    <w:rsid w:val="00BC2CB0"/>
    <w:rsid w:val="00BC41F6"/>
    <w:rsid w:val="00BC4ECA"/>
    <w:rsid w:val="00BC5C67"/>
    <w:rsid w:val="00BD2AB6"/>
    <w:rsid w:val="00BD3712"/>
    <w:rsid w:val="00BD3942"/>
    <w:rsid w:val="00BD4D80"/>
    <w:rsid w:val="00BD4F56"/>
    <w:rsid w:val="00BD50EE"/>
    <w:rsid w:val="00BD5EAB"/>
    <w:rsid w:val="00BD7CE5"/>
    <w:rsid w:val="00BE0707"/>
    <w:rsid w:val="00BE0CC1"/>
    <w:rsid w:val="00BE123E"/>
    <w:rsid w:val="00BE371D"/>
    <w:rsid w:val="00BF0303"/>
    <w:rsid w:val="00BF1427"/>
    <w:rsid w:val="00BF2D2F"/>
    <w:rsid w:val="00BF33F8"/>
    <w:rsid w:val="00BF350F"/>
    <w:rsid w:val="00BF3A81"/>
    <w:rsid w:val="00BF5A70"/>
    <w:rsid w:val="00C00582"/>
    <w:rsid w:val="00C00BD4"/>
    <w:rsid w:val="00C01F91"/>
    <w:rsid w:val="00C047EB"/>
    <w:rsid w:val="00C054FD"/>
    <w:rsid w:val="00C05D56"/>
    <w:rsid w:val="00C0617B"/>
    <w:rsid w:val="00C076C7"/>
    <w:rsid w:val="00C1002C"/>
    <w:rsid w:val="00C1287E"/>
    <w:rsid w:val="00C12F1D"/>
    <w:rsid w:val="00C14591"/>
    <w:rsid w:val="00C1510F"/>
    <w:rsid w:val="00C15385"/>
    <w:rsid w:val="00C1580D"/>
    <w:rsid w:val="00C161C5"/>
    <w:rsid w:val="00C16EE6"/>
    <w:rsid w:val="00C1775C"/>
    <w:rsid w:val="00C22153"/>
    <w:rsid w:val="00C221E1"/>
    <w:rsid w:val="00C228A3"/>
    <w:rsid w:val="00C22B14"/>
    <w:rsid w:val="00C245DA"/>
    <w:rsid w:val="00C24663"/>
    <w:rsid w:val="00C24D29"/>
    <w:rsid w:val="00C26269"/>
    <w:rsid w:val="00C2672D"/>
    <w:rsid w:val="00C26C99"/>
    <w:rsid w:val="00C27A55"/>
    <w:rsid w:val="00C30787"/>
    <w:rsid w:val="00C30EB4"/>
    <w:rsid w:val="00C317DB"/>
    <w:rsid w:val="00C31E2D"/>
    <w:rsid w:val="00C328A8"/>
    <w:rsid w:val="00C33DAB"/>
    <w:rsid w:val="00C34BDA"/>
    <w:rsid w:val="00C35356"/>
    <w:rsid w:val="00C36B87"/>
    <w:rsid w:val="00C37261"/>
    <w:rsid w:val="00C37301"/>
    <w:rsid w:val="00C375E9"/>
    <w:rsid w:val="00C37DCF"/>
    <w:rsid w:val="00C401E0"/>
    <w:rsid w:val="00C40AE9"/>
    <w:rsid w:val="00C418B8"/>
    <w:rsid w:val="00C427A4"/>
    <w:rsid w:val="00C43B86"/>
    <w:rsid w:val="00C502A8"/>
    <w:rsid w:val="00C53288"/>
    <w:rsid w:val="00C53CA6"/>
    <w:rsid w:val="00C53DBE"/>
    <w:rsid w:val="00C56CB0"/>
    <w:rsid w:val="00C56D85"/>
    <w:rsid w:val="00C5723E"/>
    <w:rsid w:val="00C57CA2"/>
    <w:rsid w:val="00C57FF5"/>
    <w:rsid w:val="00C60486"/>
    <w:rsid w:val="00C6271B"/>
    <w:rsid w:val="00C635CC"/>
    <w:rsid w:val="00C636E2"/>
    <w:rsid w:val="00C64159"/>
    <w:rsid w:val="00C642B5"/>
    <w:rsid w:val="00C6457F"/>
    <w:rsid w:val="00C64D00"/>
    <w:rsid w:val="00C6568D"/>
    <w:rsid w:val="00C659EC"/>
    <w:rsid w:val="00C65BAB"/>
    <w:rsid w:val="00C65D5F"/>
    <w:rsid w:val="00C7101A"/>
    <w:rsid w:val="00C7149F"/>
    <w:rsid w:val="00C718FD"/>
    <w:rsid w:val="00C72078"/>
    <w:rsid w:val="00C7253B"/>
    <w:rsid w:val="00C72A83"/>
    <w:rsid w:val="00C73F94"/>
    <w:rsid w:val="00C7406D"/>
    <w:rsid w:val="00C74150"/>
    <w:rsid w:val="00C75159"/>
    <w:rsid w:val="00C754FF"/>
    <w:rsid w:val="00C755BF"/>
    <w:rsid w:val="00C77624"/>
    <w:rsid w:val="00C8043A"/>
    <w:rsid w:val="00C81324"/>
    <w:rsid w:val="00C81352"/>
    <w:rsid w:val="00C821D0"/>
    <w:rsid w:val="00C83BF8"/>
    <w:rsid w:val="00C83EA2"/>
    <w:rsid w:val="00C8474D"/>
    <w:rsid w:val="00C85198"/>
    <w:rsid w:val="00C85642"/>
    <w:rsid w:val="00C869D4"/>
    <w:rsid w:val="00C86B73"/>
    <w:rsid w:val="00C86CCC"/>
    <w:rsid w:val="00C876F4"/>
    <w:rsid w:val="00C87E82"/>
    <w:rsid w:val="00C92CE9"/>
    <w:rsid w:val="00C93743"/>
    <w:rsid w:val="00C95253"/>
    <w:rsid w:val="00C95367"/>
    <w:rsid w:val="00CA2286"/>
    <w:rsid w:val="00CA348D"/>
    <w:rsid w:val="00CA3ABC"/>
    <w:rsid w:val="00CA40BB"/>
    <w:rsid w:val="00CA4BF7"/>
    <w:rsid w:val="00CA4FFA"/>
    <w:rsid w:val="00CA50A7"/>
    <w:rsid w:val="00CA5151"/>
    <w:rsid w:val="00CA5599"/>
    <w:rsid w:val="00CA663C"/>
    <w:rsid w:val="00CA7425"/>
    <w:rsid w:val="00CB1F7E"/>
    <w:rsid w:val="00CB20E9"/>
    <w:rsid w:val="00CB218C"/>
    <w:rsid w:val="00CB290F"/>
    <w:rsid w:val="00CB2CD4"/>
    <w:rsid w:val="00CB46CA"/>
    <w:rsid w:val="00CB54DA"/>
    <w:rsid w:val="00CB58AD"/>
    <w:rsid w:val="00CB6CDD"/>
    <w:rsid w:val="00CB7187"/>
    <w:rsid w:val="00CB7243"/>
    <w:rsid w:val="00CC103F"/>
    <w:rsid w:val="00CC1491"/>
    <w:rsid w:val="00CC1CBF"/>
    <w:rsid w:val="00CC1E11"/>
    <w:rsid w:val="00CC32A9"/>
    <w:rsid w:val="00CC32FD"/>
    <w:rsid w:val="00CC37ED"/>
    <w:rsid w:val="00CC48EC"/>
    <w:rsid w:val="00CC59A3"/>
    <w:rsid w:val="00CC687C"/>
    <w:rsid w:val="00CC6D15"/>
    <w:rsid w:val="00CD156F"/>
    <w:rsid w:val="00CD1D22"/>
    <w:rsid w:val="00CD32E6"/>
    <w:rsid w:val="00CD4CF1"/>
    <w:rsid w:val="00CD4DD6"/>
    <w:rsid w:val="00CE051B"/>
    <w:rsid w:val="00CE08BD"/>
    <w:rsid w:val="00CE0D94"/>
    <w:rsid w:val="00CE1708"/>
    <w:rsid w:val="00CE291C"/>
    <w:rsid w:val="00CE390F"/>
    <w:rsid w:val="00CE4B84"/>
    <w:rsid w:val="00CE5B18"/>
    <w:rsid w:val="00CE5CDA"/>
    <w:rsid w:val="00CE696F"/>
    <w:rsid w:val="00CE7A8A"/>
    <w:rsid w:val="00CE7C7E"/>
    <w:rsid w:val="00CE7D23"/>
    <w:rsid w:val="00CF0DAA"/>
    <w:rsid w:val="00CF1B97"/>
    <w:rsid w:val="00CF27A0"/>
    <w:rsid w:val="00CF3670"/>
    <w:rsid w:val="00CF46E7"/>
    <w:rsid w:val="00CF6F80"/>
    <w:rsid w:val="00CF7FBD"/>
    <w:rsid w:val="00D003BE"/>
    <w:rsid w:val="00D017B9"/>
    <w:rsid w:val="00D027C1"/>
    <w:rsid w:val="00D02CC9"/>
    <w:rsid w:val="00D03956"/>
    <w:rsid w:val="00D03F9F"/>
    <w:rsid w:val="00D05287"/>
    <w:rsid w:val="00D053D5"/>
    <w:rsid w:val="00D05EF0"/>
    <w:rsid w:val="00D05FF4"/>
    <w:rsid w:val="00D07EC6"/>
    <w:rsid w:val="00D108B8"/>
    <w:rsid w:val="00D10916"/>
    <w:rsid w:val="00D10FF2"/>
    <w:rsid w:val="00D11315"/>
    <w:rsid w:val="00D116B2"/>
    <w:rsid w:val="00D13BC8"/>
    <w:rsid w:val="00D1497D"/>
    <w:rsid w:val="00D1505A"/>
    <w:rsid w:val="00D1505F"/>
    <w:rsid w:val="00D1583B"/>
    <w:rsid w:val="00D15D34"/>
    <w:rsid w:val="00D16B21"/>
    <w:rsid w:val="00D16D86"/>
    <w:rsid w:val="00D17BB0"/>
    <w:rsid w:val="00D20388"/>
    <w:rsid w:val="00D20B44"/>
    <w:rsid w:val="00D21388"/>
    <w:rsid w:val="00D2147D"/>
    <w:rsid w:val="00D224CF"/>
    <w:rsid w:val="00D23527"/>
    <w:rsid w:val="00D238E0"/>
    <w:rsid w:val="00D2397A"/>
    <w:rsid w:val="00D24C73"/>
    <w:rsid w:val="00D2540A"/>
    <w:rsid w:val="00D2568A"/>
    <w:rsid w:val="00D2622D"/>
    <w:rsid w:val="00D26788"/>
    <w:rsid w:val="00D26810"/>
    <w:rsid w:val="00D26CA0"/>
    <w:rsid w:val="00D30238"/>
    <w:rsid w:val="00D315B1"/>
    <w:rsid w:val="00D31819"/>
    <w:rsid w:val="00D31FE5"/>
    <w:rsid w:val="00D33E25"/>
    <w:rsid w:val="00D343F9"/>
    <w:rsid w:val="00D34845"/>
    <w:rsid w:val="00D35C76"/>
    <w:rsid w:val="00D37017"/>
    <w:rsid w:val="00D371B5"/>
    <w:rsid w:val="00D37514"/>
    <w:rsid w:val="00D4109B"/>
    <w:rsid w:val="00D42B0D"/>
    <w:rsid w:val="00D4327D"/>
    <w:rsid w:val="00D43BAB"/>
    <w:rsid w:val="00D445DE"/>
    <w:rsid w:val="00D45E11"/>
    <w:rsid w:val="00D467D6"/>
    <w:rsid w:val="00D46A81"/>
    <w:rsid w:val="00D52577"/>
    <w:rsid w:val="00D547A8"/>
    <w:rsid w:val="00D5513E"/>
    <w:rsid w:val="00D56E5E"/>
    <w:rsid w:val="00D5738C"/>
    <w:rsid w:val="00D6113E"/>
    <w:rsid w:val="00D614B5"/>
    <w:rsid w:val="00D61CDD"/>
    <w:rsid w:val="00D630C7"/>
    <w:rsid w:val="00D63428"/>
    <w:rsid w:val="00D63494"/>
    <w:rsid w:val="00D634BE"/>
    <w:rsid w:val="00D64B7D"/>
    <w:rsid w:val="00D64C5A"/>
    <w:rsid w:val="00D65FF3"/>
    <w:rsid w:val="00D703C8"/>
    <w:rsid w:val="00D70C88"/>
    <w:rsid w:val="00D70EA9"/>
    <w:rsid w:val="00D714FF"/>
    <w:rsid w:val="00D73132"/>
    <w:rsid w:val="00D7327E"/>
    <w:rsid w:val="00D73B26"/>
    <w:rsid w:val="00D73BFD"/>
    <w:rsid w:val="00D7408B"/>
    <w:rsid w:val="00D75672"/>
    <w:rsid w:val="00D765FD"/>
    <w:rsid w:val="00D77284"/>
    <w:rsid w:val="00D8075F"/>
    <w:rsid w:val="00D81917"/>
    <w:rsid w:val="00D81B65"/>
    <w:rsid w:val="00D82E59"/>
    <w:rsid w:val="00D83091"/>
    <w:rsid w:val="00D83759"/>
    <w:rsid w:val="00D838DD"/>
    <w:rsid w:val="00D83C2D"/>
    <w:rsid w:val="00D87297"/>
    <w:rsid w:val="00D87DDB"/>
    <w:rsid w:val="00D9028B"/>
    <w:rsid w:val="00D90440"/>
    <w:rsid w:val="00D91595"/>
    <w:rsid w:val="00D918DD"/>
    <w:rsid w:val="00D932EF"/>
    <w:rsid w:val="00D936B0"/>
    <w:rsid w:val="00D9493C"/>
    <w:rsid w:val="00D94F87"/>
    <w:rsid w:val="00D95777"/>
    <w:rsid w:val="00D9780E"/>
    <w:rsid w:val="00D97843"/>
    <w:rsid w:val="00D97E70"/>
    <w:rsid w:val="00DA0439"/>
    <w:rsid w:val="00DA05F3"/>
    <w:rsid w:val="00DA0B00"/>
    <w:rsid w:val="00DA1C2E"/>
    <w:rsid w:val="00DA1E1C"/>
    <w:rsid w:val="00DA2635"/>
    <w:rsid w:val="00DA2F79"/>
    <w:rsid w:val="00DA3111"/>
    <w:rsid w:val="00DA4EBF"/>
    <w:rsid w:val="00DA4EC5"/>
    <w:rsid w:val="00DA5B94"/>
    <w:rsid w:val="00DB146C"/>
    <w:rsid w:val="00DB22D8"/>
    <w:rsid w:val="00DB24F6"/>
    <w:rsid w:val="00DB2599"/>
    <w:rsid w:val="00DB6D6C"/>
    <w:rsid w:val="00DB6E7F"/>
    <w:rsid w:val="00DC0B98"/>
    <w:rsid w:val="00DC0C9D"/>
    <w:rsid w:val="00DC1A29"/>
    <w:rsid w:val="00DC1E71"/>
    <w:rsid w:val="00DC2141"/>
    <w:rsid w:val="00DC24BC"/>
    <w:rsid w:val="00DC32E7"/>
    <w:rsid w:val="00DC54BC"/>
    <w:rsid w:val="00DC6D8E"/>
    <w:rsid w:val="00DC7825"/>
    <w:rsid w:val="00DD1964"/>
    <w:rsid w:val="00DD1B8D"/>
    <w:rsid w:val="00DD31DF"/>
    <w:rsid w:val="00DD3907"/>
    <w:rsid w:val="00DD4C65"/>
    <w:rsid w:val="00DD6029"/>
    <w:rsid w:val="00DD6665"/>
    <w:rsid w:val="00DD66D7"/>
    <w:rsid w:val="00DD710D"/>
    <w:rsid w:val="00DD770A"/>
    <w:rsid w:val="00DD7968"/>
    <w:rsid w:val="00DE361D"/>
    <w:rsid w:val="00DE45D2"/>
    <w:rsid w:val="00DE4824"/>
    <w:rsid w:val="00DE52FC"/>
    <w:rsid w:val="00DE606C"/>
    <w:rsid w:val="00DE66E1"/>
    <w:rsid w:val="00DF092A"/>
    <w:rsid w:val="00DF0A46"/>
    <w:rsid w:val="00DF4198"/>
    <w:rsid w:val="00DF423C"/>
    <w:rsid w:val="00DF4338"/>
    <w:rsid w:val="00DF4A15"/>
    <w:rsid w:val="00DF4D2C"/>
    <w:rsid w:val="00DF6793"/>
    <w:rsid w:val="00DF68DD"/>
    <w:rsid w:val="00DF72D2"/>
    <w:rsid w:val="00DF778F"/>
    <w:rsid w:val="00E02240"/>
    <w:rsid w:val="00E02C15"/>
    <w:rsid w:val="00E031CC"/>
    <w:rsid w:val="00E03687"/>
    <w:rsid w:val="00E0482D"/>
    <w:rsid w:val="00E055C8"/>
    <w:rsid w:val="00E07D16"/>
    <w:rsid w:val="00E114F2"/>
    <w:rsid w:val="00E1262A"/>
    <w:rsid w:val="00E1343F"/>
    <w:rsid w:val="00E13B61"/>
    <w:rsid w:val="00E140CA"/>
    <w:rsid w:val="00E1427A"/>
    <w:rsid w:val="00E145D5"/>
    <w:rsid w:val="00E15693"/>
    <w:rsid w:val="00E15D85"/>
    <w:rsid w:val="00E167EF"/>
    <w:rsid w:val="00E21E43"/>
    <w:rsid w:val="00E221CF"/>
    <w:rsid w:val="00E2238B"/>
    <w:rsid w:val="00E231F7"/>
    <w:rsid w:val="00E23D4D"/>
    <w:rsid w:val="00E24198"/>
    <w:rsid w:val="00E25558"/>
    <w:rsid w:val="00E259F2"/>
    <w:rsid w:val="00E268E8"/>
    <w:rsid w:val="00E26969"/>
    <w:rsid w:val="00E276D6"/>
    <w:rsid w:val="00E30ECB"/>
    <w:rsid w:val="00E31DCD"/>
    <w:rsid w:val="00E33048"/>
    <w:rsid w:val="00E33376"/>
    <w:rsid w:val="00E34B36"/>
    <w:rsid w:val="00E34C9D"/>
    <w:rsid w:val="00E40694"/>
    <w:rsid w:val="00E40EC7"/>
    <w:rsid w:val="00E42F1A"/>
    <w:rsid w:val="00E436E1"/>
    <w:rsid w:val="00E44325"/>
    <w:rsid w:val="00E47172"/>
    <w:rsid w:val="00E47B3A"/>
    <w:rsid w:val="00E50389"/>
    <w:rsid w:val="00E50C12"/>
    <w:rsid w:val="00E51836"/>
    <w:rsid w:val="00E52CBB"/>
    <w:rsid w:val="00E537B9"/>
    <w:rsid w:val="00E5415E"/>
    <w:rsid w:val="00E5428A"/>
    <w:rsid w:val="00E54351"/>
    <w:rsid w:val="00E55B5F"/>
    <w:rsid w:val="00E56573"/>
    <w:rsid w:val="00E62539"/>
    <w:rsid w:val="00E62A17"/>
    <w:rsid w:val="00E6533D"/>
    <w:rsid w:val="00E66CAC"/>
    <w:rsid w:val="00E67EF8"/>
    <w:rsid w:val="00E70588"/>
    <w:rsid w:val="00E71763"/>
    <w:rsid w:val="00E73FE3"/>
    <w:rsid w:val="00E740ED"/>
    <w:rsid w:val="00E751CC"/>
    <w:rsid w:val="00E7526F"/>
    <w:rsid w:val="00E75B29"/>
    <w:rsid w:val="00E75B72"/>
    <w:rsid w:val="00E77DEA"/>
    <w:rsid w:val="00E81CEE"/>
    <w:rsid w:val="00E81FCC"/>
    <w:rsid w:val="00E82A4B"/>
    <w:rsid w:val="00E82C23"/>
    <w:rsid w:val="00E831AA"/>
    <w:rsid w:val="00E834E6"/>
    <w:rsid w:val="00E849FE"/>
    <w:rsid w:val="00E84A31"/>
    <w:rsid w:val="00E84D6E"/>
    <w:rsid w:val="00E86B7C"/>
    <w:rsid w:val="00E879E2"/>
    <w:rsid w:val="00E87D32"/>
    <w:rsid w:val="00E91602"/>
    <w:rsid w:val="00E936AE"/>
    <w:rsid w:val="00E943CA"/>
    <w:rsid w:val="00E960A4"/>
    <w:rsid w:val="00E9748C"/>
    <w:rsid w:val="00EA096B"/>
    <w:rsid w:val="00EA17AF"/>
    <w:rsid w:val="00EA1F16"/>
    <w:rsid w:val="00EA38C3"/>
    <w:rsid w:val="00EA400D"/>
    <w:rsid w:val="00EA5977"/>
    <w:rsid w:val="00EA63FE"/>
    <w:rsid w:val="00EA682E"/>
    <w:rsid w:val="00EA728D"/>
    <w:rsid w:val="00EB15D8"/>
    <w:rsid w:val="00EB1781"/>
    <w:rsid w:val="00EB24A7"/>
    <w:rsid w:val="00EB2D07"/>
    <w:rsid w:val="00EB37F9"/>
    <w:rsid w:val="00EB5404"/>
    <w:rsid w:val="00EC09B7"/>
    <w:rsid w:val="00EC1D61"/>
    <w:rsid w:val="00EC2B75"/>
    <w:rsid w:val="00EC3366"/>
    <w:rsid w:val="00EC6FA3"/>
    <w:rsid w:val="00EC7FA4"/>
    <w:rsid w:val="00ED0041"/>
    <w:rsid w:val="00ED1491"/>
    <w:rsid w:val="00ED15AE"/>
    <w:rsid w:val="00ED174E"/>
    <w:rsid w:val="00ED1D25"/>
    <w:rsid w:val="00ED2583"/>
    <w:rsid w:val="00ED4598"/>
    <w:rsid w:val="00ED56B5"/>
    <w:rsid w:val="00ED6CD3"/>
    <w:rsid w:val="00ED6D08"/>
    <w:rsid w:val="00ED78C3"/>
    <w:rsid w:val="00EE0533"/>
    <w:rsid w:val="00EE0E2D"/>
    <w:rsid w:val="00EE22A6"/>
    <w:rsid w:val="00EE3318"/>
    <w:rsid w:val="00EE4DDB"/>
    <w:rsid w:val="00EE5A92"/>
    <w:rsid w:val="00EE6EB0"/>
    <w:rsid w:val="00EE755F"/>
    <w:rsid w:val="00EF34B1"/>
    <w:rsid w:val="00EF380F"/>
    <w:rsid w:val="00EF3CD7"/>
    <w:rsid w:val="00EF3F2E"/>
    <w:rsid w:val="00EF5557"/>
    <w:rsid w:val="00EF7977"/>
    <w:rsid w:val="00F00B43"/>
    <w:rsid w:val="00F01AEF"/>
    <w:rsid w:val="00F01C81"/>
    <w:rsid w:val="00F02F87"/>
    <w:rsid w:val="00F03093"/>
    <w:rsid w:val="00F042D8"/>
    <w:rsid w:val="00F04809"/>
    <w:rsid w:val="00F05F06"/>
    <w:rsid w:val="00F061F4"/>
    <w:rsid w:val="00F063F2"/>
    <w:rsid w:val="00F067B5"/>
    <w:rsid w:val="00F06C25"/>
    <w:rsid w:val="00F06FEB"/>
    <w:rsid w:val="00F072C6"/>
    <w:rsid w:val="00F07FA5"/>
    <w:rsid w:val="00F1022C"/>
    <w:rsid w:val="00F10281"/>
    <w:rsid w:val="00F11139"/>
    <w:rsid w:val="00F15475"/>
    <w:rsid w:val="00F15A2F"/>
    <w:rsid w:val="00F15B3E"/>
    <w:rsid w:val="00F16EBE"/>
    <w:rsid w:val="00F20BAD"/>
    <w:rsid w:val="00F2188E"/>
    <w:rsid w:val="00F21967"/>
    <w:rsid w:val="00F2206A"/>
    <w:rsid w:val="00F2293E"/>
    <w:rsid w:val="00F22DB1"/>
    <w:rsid w:val="00F22EA6"/>
    <w:rsid w:val="00F23A08"/>
    <w:rsid w:val="00F24A8C"/>
    <w:rsid w:val="00F2763C"/>
    <w:rsid w:val="00F27DE9"/>
    <w:rsid w:val="00F30AF6"/>
    <w:rsid w:val="00F30C65"/>
    <w:rsid w:val="00F31774"/>
    <w:rsid w:val="00F32259"/>
    <w:rsid w:val="00F32628"/>
    <w:rsid w:val="00F33700"/>
    <w:rsid w:val="00F40263"/>
    <w:rsid w:val="00F4111D"/>
    <w:rsid w:val="00F41DE7"/>
    <w:rsid w:val="00F42ED9"/>
    <w:rsid w:val="00F43108"/>
    <w:rsid w:val="00F4437B"/>
    <w:rsid w:val="00F444A7"/>
    <w:rsid w:val="00F44CFF"/>
    <w:rsid w:val="00F44D21"/>
    <w:rsid w:val="00F451F5"/>
    <w:rsid w:val="00F466D0"/>
    <w:rsid w:val="00F476D1"/>
    <w:rsid w:val="00F47B64"/>
    <w:rsid w:val="00F505EE"/>
    <w:rsid w:val="00F50DC2"/>
    <w:rsid w:val="00F51474"/>
    <w:rsid w:val="00F515BB"/>
    <w:rsid w:val="00F52140"/>
    <w:rsid w:val="00F5351C"/>
    <w:rsid w:val="00F53E31"/>
    <w:rsid w:val="00F53FAB"/>
    <w:rsid w:val="00F607AB"/>
    <w:rsid w:val="00F61D80"/>
    <w:rsid w:val="00F62AFB"/>
    <w:rsid w:val="00F62B09"/>
    <w:rsid w:val="00F6348E"/>
    <w:rsid w:val="00F63B6C"/>
    <w:rsid w:val="00F6792E"/>
    <w:rsid w:val="00F679C4"/>
    <w:rsid w:val="00F707F6"/>
    <w:rsid w:val="00F70E08"/>
    <w:rsid w:val="00F71966"/>
    <w:rsid w:val="00F71ADB"/>
    <w:rsid w:val="00F720A9"/>
    <w:rsid w:val="00F72A68"/>
    <w:rsid w:val="00F7374B"/>
    <w:rsid w:val="00F73E3B"/>
    <w:rsid w:val="00F744B6"/>
    <w:rsid w:val="00F74B45"/>
    <w:rsid w:val="00F74EE7"/>
    <w:rsid w:val="00F74F12"/>
    <w:rsid w:val="00F752EA"/>
    <w:rsid w:val="00F75696"/>
    <w:rsid w:val="00F76233"/>
    <w:rsid w:val="00F767F8"/>
    <w:rsid w:val="00F76A86"/>
    <w:rsid w:val="00F77715"/>
    <w:rsid w:val="00F77A03"/>
    <w:rsid w:val="00F819EA"/>
    <w:rsid w:val="00F821EB"/>
    <w:rsid w:val="00F84D64"/>
    <w:rsid w:val="00F85C2F"/>
    <w:rsid w:val="00F879E6"/>
    <w:rsid w:val="00F9282B"/>
    <w:rsid w:val="00F94137"/>
    <w:rsid w:val="00F94FB2"/>
    <w:rsid w:val="00F95344"/>
    <w:rsid w:val="00F9567B"/>
    <w:rsid w:val="00FA04E9"/>
    <w:rsid w:val="00FA1D33"/>
    <w:rsid w:val="00FA1D81"/>
    <w:rsid w:val="00FA3157"/>
    <w:rsid w:val="00FA3665"/>
    <w:rsid w:val="00FA3AAC"/>
    <w:rsid w:val="00FA4BEB"/>
    <w:rsid w:val="00FA5358"/>
    <w:rsid w:val="00FA679F"/>
    <w:rsid w:val="00FA705A"/>
    <w:rsid w:val="00FA78D9"/>
    <w:rsid w:val="00FA7972"/>
    <w:rsid w:val="00FB00AC"/>
    <w:rsid w:val="00FB10B0"/>
    <w:rsid w:val="00FB11F9"/>
    <w:rsid w:val="00FB30FC"/>
    <w:rsid w:val="00FB3120"/>
    <w:rsid w:val="00FB3313"/>
    <w:rsid w:val="00FB42B4"/>
    <w:rsid w:val="00FB5202"/>
    <w:rsid w:val="00FB5816"/>
    <w:rsid w:val="00FB642D"/>
    <w:rsid w:val="00FB6EA4"/>
    <w:rsid w:val="00FB7EC7"/>
    <w:rsid w:val="00FC39B1"/>
    <w:rsid w:val="00FC49C2"/>
    <w:rsid w:val="00FC6DF3"/>
    <w:rsid w:val="00FC70BB"/>
    <w:rsid w:val="00FC7A67"/>
    <w:rsid w:val="00FC7B75"/>
    <w:rsid w:val="00FD014A"/>
    <w:rsid w:val="00FD0199"/>
    <w:rsid w:val="00FD01A9"/>
    <w:rsid w:val="00FD1304"/>
    <w:rsid w:val="00FD2253"/>
    <w:rsid w:val="00FD3330"/>
    <w:rsid w:val="00FD34DA"/>
    <w:rsid w:val="00FD38A5"/>
    <w:rsid w:val="00FD3CC5"/>
    <w:rsid w:val="00FD41DC"/>
    <w:rsid w:val="00FD422B"/>
    <w:rsid w:val="00FD467D"/>
    <w:rsid w:val="00FD7463"/>
    <w:rsid w:val="00FD7A0A"/>
    <w:rsid w:val="00FE0F2E"/>
    <w:rsid w:val="00FE353A"/>
    <w:rsid w:val="00FE3877"/>
    <w:rsid w:val="00FE39A6"/>
    <w:rsid w:val="00FE3B14"/>
    <w:rsid w:val="00FE3DBB"/>
    <w:rsid w:val="00FE3EA0"/>
    <w:rsid w:val="00FF0993"/>
    <w:rsid w:val="00FF0CAA"/>
    <w:rsid w:val="00FF12FA"/>
    <w:rsid w:val="00FF37AA"/>
    <w:rsid w:val="00FF48B7"/>
    <w:rsid w:val="00FF49BA"/>
    <w:rsid w:val="00FF58D5"/>
    <w:rsid w:val="00FF5A68"/>
    <w:rsid w:val="00FF7E76"/>
    <w:rsid w:val="01217B29"/>
    <w:rsid w:val="022A7B38"/>
    <w:rsid w:val="026C7CE1"/>
    <w:rsid w:val="028F08E2"/>
    <w:rsid w:val="032C2671"/>
    <w:rsid w:val="038C1C7B"/>
    <w:rsid w:val="040C23B8"/>
    <w:rsid w:val="041338FE"/>
    <w:rsid w:val="047F30B1"/>
    <w:rsid w:val="04C858E0"/>
    <w:rsid w:val="04F424D1"/>
    <w:rsid w:val="064540FD"/>
    <w:rsid w:val="06B446A3"/>
    <w:rsid w:val="06E22018"/>
    <w:rsid w:val="09294648"/>
    <w:rsid w:val="0A2723B1"/>
    <w:rsid w:val="0A405503"/>
    <w:rsid w:val="0A5A72EE"/>
    <w:rsid w:val="0AE174D8"/>
    <w:rsid w:val="0B2004CA"/>
    <w:rsid w:val="0B84161B"/>
    <w:rsid w:val="0BB12A38"/>
    <w:rsid w:val="0C1C2CDB"/>
    <w:rsid w:val="0C7C6CCB"/>
    <w:rsid w:val="0D864C21"/>
    <w:rsid w:val="0E1069B3"/>
    <w:rsid w:val="0E1E39F5"/>
    <w:rsid w:val="0E971692"/>
    <w:rsid w:val="0EB054A8"/>
    <w:rsid w:val="0EB61FEF"/>
    <w:rsid w:val="0EE6242E"/>
    <w:rsid w:val="0EED4D44"/>
    <w:rsid w:val="0F52567E"/>
    <w:rsid w:val="0F8B5FB3"/>
    <w:rsid w:val="108976E6"/>
    <w:rsid w:val="10BF6A05"/>
    <w:rsid w:val="10EF0CD3"/>
    <w:rsid w:val="11634D14"/>
    <w:rsid w:val="11AD5F6A"/>
    <w:rsid w:val="12980F1E"/>
    <w:rsid w:val="12AC73EF"/>
    <w:rsid w:val="12AE724E"/>
    <w:rsid w:val="139C6E25"/>
    <w:rsid w:val="144F7E40"/>
    <w:rsid w:val="14963691"/>
    <w:rsid w:val="14B13DF7"/>
    <w:rsid w:val="15973C0E"/>
    <w:rsid w:val="15A4048D"/>
    <w:rsid w:val="164A3E13"/>
    <w:rsid w:val="16941531"/>
    <w:rsid w:val="169B1809"/>
    <w:rsid w:val="16AD385C"/>
    <w:rsid w:val="16E84466"/>
    <w:rsid w:val="1724108C"/>
    <w:rsid w:val="18096E83"/>
    <w:rsid w:val="18D83342"/>
    <w:rsid w:val="19B76C9D"/>
    <w:rsid w:val="1ADD0B8F"/>
    <w:rsid w:val="1B500CC3"/>
    <w:rsid w:val="1BF42E30"/>
    <w:rsid w:val="1BFD5365"/>
    <w:rsid w:val="1C1245B7"/>
    <w:rsid w:val="1C9C7C64"/>
    <w:rsid w:val="1CB96093"/>
    <w:rsid w:val="1D5C5157"/>
    <w:rsid w:val="1D97666C"/>
    <w:rsid w:val="1E155C9B"/>
    <w:rsid w:val="1E581E05"/>
    <w:rsid w:val="1E8B5489"/>
    <w:rsid w:val="1F053DDC"/>
    <w:rsid w:val="1F5A1A8B"/>
    <w:rsid w:val="1F6C62AB"/>
    <w:rsid w:val="1F8C362B"/>
    <w:rsid w:val="1FF2335A"/>
    <w:rsid w:val="216B27A4"/>
    <w:rsid w:val="218C139B"/>
    <w:rsid w:val="21AA1B0E"/>
    <w:rsid w:val="220D59D9"/>
    <w:rsid w:val="22A379FD"/>
    <w:rsid w:val="23236933"/>
    <w:rsid w:val="233F5372"/>
    <w:rsid w:val="238A52E5"/>
    <w:rsid w:val="23E12013"/>
    <w:rsid w:val="240B17F9"/>
    <w:rsid w:val="243B2161"/>
    <w:rsid w:val="243C3446"/>
    <w:rsid w:val="24A95A94"/>
    <w:rsid w:val="258A6DD1"/>
    <w:rsid w:val="265D72DA"/>
    <w:rsid w:val="266F749F"/>
    <w:rsid w:val="26A04D96"/>
    <w:rsid w:val="271F7BBB"/>
    <w:rsid w:val="274F1BE1"/>
    <w:rsid w:val="2770390F"/>
    <w:rsid w:val="27D03B72"/>
    <w:rsid w:val="28E219EC"/>
    <w:rsid w:val="29153ADF"/>
    <w:rsid w:val="293C2578"/>
    <w:rsid w:val="29776599"/>
    <w:rsid w:val="2A721632"/>
    <w:rsid w:val="2AB832F3"/>
    <w:rsid w:val="2AC46CAA"/>
    <w:rsid w:val="2B1B31C2"/>
    <w:rsid w:val="2B377C61"/>
    <w:rsid w:val="2B4B6368"/>
    <w:rsid w:val="2B8363BD"/>
    <w:rsid w:val="2BF12637"/>
    <w:rsid w:val="2DEA6CA5"/>
    <w:rsid w:val="2E39388F"/>
    <w:rsid w:val="2ED86B88"/>
    <w:rsid w:val="2F7B4DB3"/>
    <w:rsid w:val="303013B6"/>
    <w:rsid w:val="303421FE"/>
    <w:rsid w:val="30D0776D"/>
    <w:rsid w:val="31ED058D"/>
    <w:rsid w:val="32695B28"/>
    <w:rsid w:val="331749B2"/>
    <w:rsid w:val="33D26B03"/>
    <w:rsid w:val="33D7243A"/>
    <w:rsid w:val="346B06BB"/>
    <w:rsid w:val="35382AFC"/>
    <w:rsid w:val="363562D4"/>
    <w:rsid w:val="3662291A"/>
    <w:rsid w:val="36923D43"/>
    <w:rsid w:val="37EF4DBC"/>
    <w:rsid w:val="386460B1"/>
    <w:rsid w:val="38866F1D"/>
    <w:rsid w:val="38AF1670"/>
    <w:rsid w:val="39250E0B"/>
    <w:rsid w:val="3985705A"/>
    <w:rsid w:val="3A17056D"/>
    <w:rsid w:val="3A7054C2"/>
    <w:rsid w:val="3A8701C8"/>
    <w:rsid w:val="3B026E97"/>
    <w:rsid w:val="3B567262"/>
    <w:rsid w:val="3B726B3C"/>
    <w:rsid w:val="3BDF4A15"/>
    <w:rsid w:val="3C03562C"/>
    <w:rsid w:val="3C1253E4"/>
    <w:rsid w:val="3C9F2A64"/>
    <w:rsid w:val="3D6A7DCC"/>
    <w:rsid w:val="3DFA0406"/>
    <w:rsid w:val="3EAB7E66"/>
    <w:rsid w:val="3EE5692A"/>
    <w:rsid w:val="3F0E1322"/>
    <w:rsid w:val="403246EE"/>
    <w:rsid w:val="40334E3A"/>
    <w:rsid w:val="40655F8C"/>
    <w:rsid w:val="40AC39F3"/>
    <w:rsid w:val="4126213A"/>
    <w:rsid w:val="41B23AEB"/>
    <w:rsid w:val="41FE07B7"/>
    <w:rsid w:val="42216917"/>
    <w:rsid w:val="43B10BB6"/>
    <w:rsid w:val="44277ED0"/>
    <w:rsid w:val="44575D2C"/>
    <w:rsid w:val="445B4468"/>
    <w:rsid w:val="449864F8"/>
    <w:rsid w:val="44E5395C"/>
    <w:rsid w:val="45364A6F"/>
    <w:rsid w:val="455C52F8"/>
    <w:rsid w:val="455E7A9B"/>
    <w:rsid w:val="46560216"/>
    <w:rsid w:val="46592D8E"/>
    <w:rsid w:val="476030C0"/>
    <w:rsid w:val="478F5039"/>
    <w:rsid w:val="4809489A"/>
    <w:rsid w:val="48D0726C"/>
    <w:rsid w:val="49032CA8"/>
    <w:rsid w:val="491C7192"/>
    <w:rsid w:val="4A0A4A89"/>
    <w:rsid w:val="4A632E39"/>
    <w:rsid w:val="4A937F13"/>
    <w:rsid w:val="4AB10935"/>
    <w:rsid w:val="4AEC01F2"/>
    <w:rsid w:val="4AF76D95"/>
    <w:rsid w:val="4B223A07"/>
    <w:rsid w:val="4B4705A6"/>
    <w:rsid w:val="4C141D69"/>
    <w:rsid w:val="4C9A577D"/>
    <w:rsid w:val="4CA35AD2"/>
    <w:rsid w:val="4CA4745E"/>
    <w:rsid w:val="4E91313B"/>
    <w:rsid w:val="4F0E138C"/>
    <w:rsid w:val="4F111734"/>
    <w:rsid w:val="4FEA1EA8"/>
    <w:rsid w:val="50150CA4"/>
    <w:rsid w:val="501B349A"/>
    <w:rsid w:val="504655C3"/>
    <w:rsid w:val="511D5F34"/>
    <w:rsid w:val="514903DA"/>
    <w:rsid w:val="525C609C"/>
    <w:rsid w:val="52B059E4"/>
    <w:rsid w:val="52BB5F5F"/>
    <w:rsid w:val="52BE43B1"/>
    <w:rsid w:val="545E22B7"/>
    <w:rsid w:val="55462989"/>
    <w:rsid w:val="559C4E9D"/>
    <w:rsid w:val="55BA7ABC"/>
    <w:rsid w:val="562A0E8E"/>
    <w:rsid w:val="562F4E3B"/>
    <w:rsid w:val="564D0088"/>
    <w:rsid w:val="57EA2322"/>
    <w:rsid w:val="58222EAA"/>
    <w:rsid w:val="58CB385E"/>
    <w:rsid w:val="58F84393"/>
    <w:rsid w:val="5936552F"/>
    <w:rsid w:val="59B15C7C"/>
    <w:rsid w:val="59FC204A"/>
    <w:rsid w:val="5A9206D4"/>
    <w:rsid w:val="5A946473"/>
    <w:rsid w:val="5D1C7460"/>
    <w:rsid w:val="5D236D69"/>
    <w:rsid w:val="5EEB346D"/>
    <w:rsid w:val="5EF77CB3"/>
    <w:rsid w:val="5EFE7A69"/>
    <w:rsid w:val="5FAF0CC6"/>
    <w:rsid w:val="608B4093"/>
    <w:rsid w:val="60932266"/>
    <w:rsid w:val="60AA18BB"/>
    <w:rsid w:val="60B54E74"/>
    <w:rsid w:val="60C67E4C"/>
    <w:rsid w:val="60DA227B"/>
    <w:rsid w:val="60E830AF"/>
    <w:rsid w:val="62940646"/>
    <w:rsid w:val="63956E90"/>
    <w:rsid w:val="64C53849"/>
    <w:rsid w:val="65254BD5"/>
    <w:rsid w:val="652E6154"/>
    <w:rsid w:val="657E7A3F"/>
    <w:rsid w:val="658C7A83"/>
    <w:rsid w:val="665C0898"/>
    <w:rsid w:val="669E1ED7"/>
    <w:rsid w:val="66DA2162"/>
    <w:rsid w:val="66E80E17"/>
    <w:rsid w:val="67245CB2"/>
    <w:rsid w:val="677F35E9"/>
    <w:rsid w:val="68BA4B81"/>
    <w:rsid w:val="695A6B00"/>
    <w:rsid w:val="698D2DBB"/>
    <w:rsid w:val="69AB440C"/>
    <w:rsid w:val="69B63EB2"/>
    <w:rsid w:val="69DF57A1"/>
    <w:rsid w:val="6A063F85"/>
    <w:rsid w:val="6AAF6C95"/>
    <w:rsid w:val="6B2A1E40"/>
    <w:rsid w:val="6B2A5E75"/>
    <w:rsid w:val="6BAB0BD9"/>
    <w:rsid w:val="6BFC4F20"/>
    <w:rsid w:val="6C1B6C61"/>
    <w:rsid w:val="6C511BAB"/>
    <w:rsid w:val="6CD624CD"/>
    <w:rsid w:val="6D000600"/>
    <w:rsid w:val="6E0E0B49"/>
    <w:rsid w:val="6E576D25"/>
    <w:rsid w:val="6F6D24A9"/>
    <w:rsid w:val="6FB707E7"/>
    <w:rsid w:val="701265DE"/>
    <w:rsid w:val="710C4291"/>
    <w:rsid w:val="712D067D"/>
    <w:rsid w:val="71805390"/>
    <w:rsid w:val="71B419FF"/>
    <w:rsid w:val="71E414FC"/>
    <w:rsid w:val="71EC477B"/>
    <w:rsid w:val="71FB53DB"/>
    <w:rsid w:val="7246251A"/>
    <w:rsid w:val="72995A45"/>
    <w:rsid w:val="72D90658"/>
    <w:rsid w:val="73246B2F"/>
    <w:rsid w:val="738D1E1E"/>
    <w:rsid w:val="738E433D"/>
    <w:rsid w:val="73B013D6"/>
    <w:rsid w:val="757509BA"/>
    <w:rsid w:val="76444B7C"/>
    <w:rsid w:val="7699536B"/>
    <w:rsid w:val="76CF5932"/>
    <w:rsid w:val="77ED2673"/>
    <w:rsid w:val="78016993"/>
    <w:rsid w:val="780F730C"/>
    <w:rsid w:val="78707A70"/>
    <w:rsid w:val="788B6B91"/>
    <w:rsid w:val="78D73CDF"/>
    <w:rsid w:val="78F83E08"/>
    <w:rsid w:val="794A7497"/>
    <w:rsid w:val="79695046"/>
    <w:rsid w:val="7A2355A9"/>
    <w:rsid w:val="7A9D53D4"/>
    <w:rsid w:val="7B712BAA"/>
    <w:rsid w:val="7B925860"/>
    <w:rsid w:val="7BC65A91"/>
    <w:rsid w:val="7BDF7B54"/>
    <w:rsid w:val="7BF17D4E"/>
    <w:rsid w:val="7C021CF3"/>
    <w:rsid w:val="7C0633B4"/>
    <w:rsid w:val="7C2D1E06"/>
    <w:rsid w:val="7D43115D"/>
    <w:rsid w:val="7D827B03"/>
    <w:rsid w:val="7DA37A59"/>
    <w:rsid w:val="7E391493"/>
    <w:rsid w:val="7EA874E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Gautami" w:hAnsi="Gautam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Gautami" w:hAnsi="Gautami" w:eastAsia="宋体" w:cs="Times New Roman"/>
      <w:lang w:val="en-US" w:eastAsia="zh-CN" w:bidi="ar-SA"/>
    </w:rPr>
  </w:style>
  <w:style w:type="paragraph" w:styleId="2">
    <w:name w:val="heading 3"/>
    <w:basedOn w:val="1"/>
    <w:next w:val="1"/>
    <w:link w:val="16"/>
    <w:qFormat/>
    <w:uiPriority w:val="99"/>
    <w:pPr>
      <w:widowControl w:val="0"/>
      <w:tabs>
        <w:tab w:val="left" w:pos="720"/>
      </w:tabs>
      <w:overflowPunct/>
      <w:autoSpaceDE/>
      <w:autoSpaceDN/>
      <w:spacing w:before="120"/>
      <w:jc w:val="both"/>
      <w:outlineLvl w:val="2"/>
    </w:pPr>
    <w:rPr>
      <w:rFonts w:ascii="Times New Roman" w:hAnsi="Times New Roman"/>
      <w:sz w:val="21"/>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99"/>
  </w:style>
  <w:style w:type="paragraph" w:styleId="4">
    <w:name w:val="toc 3"/>
    <w:basedOn w:val="1"/>
    <w:next w:val="1"/>
    <w:semiHidden/>
    <w:qFormat/>
    <w:uiPriority w:val="99"/>
    <w:pPr>
      <w:tabs>
        <w:tab w:val="right" w:leader="dot" w:pos="8296"/>
      </w:tabs>
      <w:spacing w:line="700" w:lineRule="exact"/>
      <w:ind w:left="426" w:leftChars="213"/>
    </w:pPr>
  </w:style>
  <w:style w:type="paragraph" w:styleId="5">
    <w:name w:val="Balloon Text"/>
    <w:basedOn w:val="1"/>
    <w:link w:val="18"/>
    <w:qFormat/>
    <w:uiPriority w:val="99"/>
    <w:rPr>
      <w:sz w:val="18"/>
      <w:szCs w:val="18"/>
    </w:rPr>
  </w:style>
  <w:style w:type="paragraph" w:styleId="6">
    <w:name w:val="footer"/>
    <w:basedOn w:val="1"/>
    <w:link w:val="19"/>
    <w:qFormat/>
    <w:uiPriority w:val="99"/>
    <w:pPr>
      <w:tabs>
        <w:tab w:val="center" w:pos="4153"/>
        <w:tab w:val="right" w:pos="8306"/>
      </w:tabs>
      <w:snapToGrid w:val="0"/>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tabs>
        <w:tab w:val="right" w:leader="dot" w:pos="8647"/>
      </w:tabs>
    </w:pPr>
  </w:style>
  <w:style w:type="paragraph" w:styleId="9">
    <w:name w:val="toc 2"/>
    <w:basedOn w:val="1"/>
    <w:next w:val="1"/>
    <w:qFormat/>
    <w:uiPriority w:val="99"/>
    <w:pPr>
      <w:tabs>
        <w:tab w:val="right" w:leader="dot" w:pos="8647"/>
      </w:tabs>
      <w:spacing w:line="600" w:lineRule="exact"/>
      <w:ind w:left="400" w:leftChars="200"/>
      <w:jc w:val="both"/>
    </w:pPr>
    <w:rPr>
      <w:rFonts w:ascii="宋体" w:hAnsi="宋体"/>
      <w:sz w:val="24"/>
      <w:szCs w:val="24"/>
    </w:rPr>
  </w:style>
  <w:style w:type="table" w:styleId="11">
    <w:name w:val="Table Grid"/>
    <w:basedOn w:val="10"/>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uiPriority w:val="99"/>
    <w:rPr>
      <w:rFonts w:cs="Times New Roman"/>
    </w:rPr>
  </w:style>
  <w:style w:type="character" w:styleId="14">
    <w:name w:val="Hyperlink"/>
    <w:qFormat/>
    <w:uiPriority w:val="99"/>
    <w:rPr>
      <w:rFonts w:cs="Times New Roman"/>
      <w:color w:val="0000FF"/>
      <w:u w:val="single"/>
    </w:rPr>
  </w:style>
  <w:style w:type="character" w:styleId="15">
    <w:name w:val="annotation reference"/>
    <w:semiHidden/>
    <w:qFormat/>
    <w:uiPriority w:val="99"/>
    <w:rPr>
      <w:rFonts w:cs="Times New Roman"/>
      <w:sz w:val="21"/>
      <w:szCs w:val="21"/>
    </w:rPr>
  </w:style>
  <w:style w:type="character" w:customStyle="1" w:styleId="16">
    <w:name w:val="标题 3 Char"/>
    <w:link w:val="2"/>
    <w:locked/>
    <w:uiPriority w:val="99"/>
    <w:rPr>
      <w:rFonts w:ascii="Times New Roman" w:hAnsi="Times New Roman" w:cs="Times New Roman"/>
      <w:sz w:val="21"/>
    </w:rPr>
  </w:style>
  <w:style w:type="character" w:customStyle="1" w:styleId="17">
    <w:name w:val="批注文字 Char"/>
    <w:link w:val="3"/>
    <w:semiHidden/>
    <w:qFormat/>
    <w:locked/>
    <w:uiPriority w:val="99"/>
    <w:rPr>
      <w:rFonts w:cs="Times New Roman"/>
      <w:kern w:val="0"/>
      <w:sz w:val="20"/>
      <w:szCs w:val="20"/>
    </w:rPr>
  </w:style>
  <w:style w:type="character" w:customStyle="1" w:styleId="18">
    <w:name w:val="批注框文本 Char"/>
    <w:link w:val="5"/>
    <w:qFormat/>
    <w:locked/>
    <w:uiPriority w:val="99"/>
    <w:rPr>
      <w:rFonts w:cs="Times New Roman"/>
      <w:sz w:val="18"/>
    </w:rPr>
  </w:style>
  <w:style w:type="character" w:customStyle="1" w:styleId="19">
    <w:name w:val="页脚 Char"/>
    <w:link w:val="6"/>
    <w:qFormat/>
    <w:locked/>
    <w:uiPriority w:val="99"/>
    <w:rPr>
      <w:rFonts w:cs="Times New Roman"/>
      <w:sz w:val="18"/>
    </w:rPr>
  </w:style>
  <w:style w:type="character" w:customStyle="1" w:styleId="20">
    <w:name w:val="页眉 Char"/>
    <w:link w:val="7"/>
    <w:semiHidden/>
    <w:qFormat/>
    <w:locked/>
    <w:uiPriority w:val="99"/>
    <w:rPr>
      <w:rFonts w:cs="Times New Roman"/>
      <w:kern w:val="0"/>
      <w:sz w:val="18"/>
      <w:szCs w:val="18"/>
    </w:rPr>
  </w:style>
  <w:style w:type="paragraph" w:customStyle="1" w:styleId="21">
    <w:name w:val="Char"/>
    <w:basedOn w:val="1"/>
    <w:qFormat/>
    <w:uiPriority w:val="99"/>
    <w:pPr>
      <w:widowControl w:val="0"/>
      <w:overflowPunct/>
      <w:autoSpaceDE/>
      <w:autoSpaceDN/>
      <w:adjustRightInd/>
      <w:jc w:val="both"/>
      <w:textAlignment w:val="auto"/>
    </w:pPr>
    <w:rPr>
      <w:rFonts w:ascii="Tahoma" w:hAnsi="Tahoma"/>
      <w:kern w:val="2"/>
      <w:sz w:val="24"/>
    </w:rPr>
  </w:style>
  <w:style w:type="paragraph" w:styleId="22">
    <w:name w:val="List Paragraph"/>
    <w:basedOn w:val="1"/>
    <w:qFormat/>
    <w:uiPriority w:val="99"/>
    <w:pPr>
      <w:ind w:firstLine="420" w:firstLineChars="200"/>
    </w:pPr>
  </w:style>
  <w:style w:type="character" w:customStyle="1" w:styleId="23">
    <w:name w:val="明显强调1"/>
    <w:qFormat/>
    <w:uiPriority w:val="99"/>
    <w:rPr>
      <w:rFonts w:cs="Times New Roman"/>
      <w:b/>
      <w:bCs/>
      <w:i/>
      <w:iCs/>
      <w:color w:val="4F81BD"/>
    </w:rPr>
  </w:style>
  <w:style w:type="paragraph" w:customStyle="1" w:styleId="24">
    <w:name w:val="修订1"/>
    <w:hidden/>
    <w:qFormat/>
    <w:uiPriority w:val="99"/>
    <w:rPr>
      <w:rFonts w:ascii="Gautami" w:hAnsi="Gautami" w:eastAsia="宋体" w:cs="Times New Roman"/>
      <w:lang w:val="en-US" w:eastAsia="zh-CN" w:bidi="ar-SA"/>
    </w:rPr>
  </w:style>
  <w:style w:type="paragraph" w:customStyle="1" w:styleId="25">
    <w:name w:val="Revision"/>
    <w:hidden/>
    <w:qFormat/>
    <w:uiPriority w:val="99"/>
    <w:rPr>
      <w:rFonts w:ascii="Gautami" w:hAnsi="Gautam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80510-F140-4C78-84CC-F275592EA8B3}">
  <ds:schemaRefs/>
</ds:datastoreItem>
</file>

<file path=docProps/app.xml><?xml version="1.0" encoding="utf-8"?>
<Properties xmlns="http://schemas.openxmlformats.org/officeDocument/2006/extended-properties" xmlns:vt="http://schemas.openxmlformats.org/officeDocument/2006/docPropsVTypes">
  <Template>Normal</Template>
  <Pages>8</Pages>
  <Words>596</Words>
  <Characters>3401</Characters>
  <Lines>28</Lines>
  <Paragraphs>7</Paragraphs>
  <TotalTime>327</TotalTime>
  <ScaleCrop>false</ScaleCrop>
  <LinksUpToDate>false</LinksUpToDate>
  <CharactersWithSpaces>3990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2016-09-26T06:22:00Z</dcterms:created>
  <dcterms:modified xsi:type="dcterms:W3CDTF">2020-06-15T08:01:17Z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