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hint="eastAsia" w:ascii="黑体" w:hAnsi="宋体" w:eastAsia="黑体"/>
          <w:bCs/>
          <w:sz w:val="36"/>
          <w:szCs w:val="36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Style w:val="7"/>
          <w:rFonts w:hint="eastAsia" w:ascii="黑体" w:hAnsi="宋体" w:eastAsia="黑体"/>
          <w:bCs/>
          <w:sz w:val="36"/>
          <w:szCs w:val="36"/>
        </w:rPr>
        <w:t>黑龙江省“</w:t>
      </w:r>
      <w:r>
        <w:rPr>
          <w:rStyle w:val="7"/>
          <w:rFonts w:hint="eastAsia" w:ascii="黑体" w:hAnsi="宋体" w:eastAsia="黑体"/>
          <w:bCs/>
          <w:sz w:val="36"/>
          <w:szCs w:val="36"/>
          <w:lang w:eastAsia="zh-CN"/>
        </w:rPr>
        <w:t>龙江</w:t>
      </w:r>
      <w:r>
        <w:rPr>
          <w:rStyle w:val="7"/>
          <w:rFonts w:hint="eastAsia" w:ascii="黑体" w:hAnsi="宋体" w:eastAsia="黑体"/>
          <w:bCs/>
          <w:sz w:val="36"/>
          <w:szCs w:val="36"/>
        </w:rPr>
        <w:t>广厦奖”（住宅类）项目评价标准</w:t>
      </w:r>
    </w:p>
    <w:p>
      <w:pPr>
        <w:spacing w:line="400" w:lineRule="exact"/>
        <w:jc w:val="center"/>
        <w:rPr>
          <w:rFonts w:ascii="宋体" w:hAnsi="宋体"/>
          <w:b/>
          <w:bCs/>
          <w:sz w:val="32"/>
          <w:szCs w:val="36"/>
        </w:rPr>
      </w:pPr>
    </w:p>
    <w:p>
      <w:pPr>
        <w:spacing w:line="400" w:lineRule="exac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一、总 则</w:t>
      </w:r>
    </w:p>
    <w:p>
      <w:pPr>
        <w:spacing w:line="480" w:lineRule="exact"/>
        <w:ind w:firstLine="411" w:firstLineChars="196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1、为进一步推动全省房地产行业创先争优活动，提高住宅开发建设项目质量，科学、公平、公正评选“</w:t>
      </w:r>
      <w:r>
        <w:rPr>
          <w:rFonts w:hint="eastAsia" w:ascii="宋体" w:hAnsi="宋体"/>
          <w:szCs w:val="21"/>
          <w:lang w:eastAsia="zh-CN"/>
        </w:rPr>
        <w:t>龙江</w:t>
      </w:r>
      <w:r>
        <w:rPr>
          <w:rFonts w:hint="eastAsia" w:ascii="宋体" w:hAnsi="宋体"/>
          <w:szCs w:val="21"/>
        </w:rPr>
        <w:t>广厦奖”项目，根据中房协关于做好“广厦奖”评选工作原则，结合黑龙江省实际情况，特制定本评价标准。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2、申报“</w:t>
      </w:r>
      <w:r>
        <w:rPr>
          <w:rFonts w:hint="eastAsia" w:ascii="宋体" w:hAnsi="宋体"/>
          <w:szCs w:val="21"/>
          <w:lang w:eastAsia="zh-CN"/>
        </w:rPr>
        <w:t>龙江</w:t>
      </w:r>
      <w:r>
        <w:rPr>
          <w:rFonts w:hint="eastAsia" w:ascii="宋体" w:hAnsi="宋体"/>
          <w:szCs w:val="21"/>
        </w:rPr>
        <w:t>广厦奖”住宅类项目应当符合下列基本条件：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（1）履行工程竣工验收备案程序。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（2）总建筑面积：哈尔滨市及地级城市5万平方米以上，农垦、森工系统、县及县级市、小城镇和农村建设项目可适当降低。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（3）项目规划科学，设计先进，布局合理。住宅小区市政公用基础设施配套建设，交通便捷，绿化达标，环境优越。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（4）工程质量合格率达到100％。住户对工程质量满意度达到95％，对物业管理满意度达到80%。入住率达到60%。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）住宅全装修</w:t>
      </w:r>
      <w:r>
        <w:rPr>
          <w:rFonts w:hint="eastAsia" w:ascii="宋体" w:hAnsi="宋体"/>
          <w:szCs w:val="21"/>
          <w:lang w:eastAsia="zh-CN"/>
        </w:rPr>
        <w:t>按一定</w:t>
      </w:r>
      <w:r>
        <w:rPr>
          <w:rFonts w:hint="eastAsia" w:ascii="宋体" w:hAnsi="宋体"/>
          <w:szCs w:val="21"/>
        </w:rPr>
        <w:t>比例。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>6</w:t>
      </w:r>
      <w:r>
        <w:rPr>
          <w:rFonts w:hint="eastAsia" w:ascii="宋体" w:hAnsi="宋体"/>
          <w:szCs w:val="21"/>
        </w:rPr>
        <w:t>）应用节能减排新技术效果明显。至少采用四项以上（含四项）住建部、省住建厅倡导推行的住宅产业化新技术，并符合寒地建筑对地基基础、墙体处理等技术要求。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凡出现过质量安全事故、有不良信用记录或引发群体投诉并负主要责任的企业，不得申报“</w:t>
      </w:r>
      <w:r>
        <w:rPr>
          <w:rFonts w:hint="eastAsia" w:ascii="宋体" w:hAnsi="宋体"/>
          <w:szCs w:val="21"/>
          <w:lang w:eastAsia="zh-CN"/>
        </w:rPr>
        <w:t>龙江</w:t>
      </w:r>
      <w:r>
        <w:rPr>
          <w:rFonts w:hint="eastAsia" w:ascii="宋体" w:hAnsi="宋体"/>
          <w:szCs w:val="21"/>
        </w:rPr>
        <w:t>广厦奖”（住宅类）项目。</w:t>
      </w:r>
    </w:p>
    <w:p>
      <w:pPr>
        <w:spacing w:line="480" w:lineRule="exac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 xml:space="preserve">二、评 价 </w:t>
      </w:r>
      <w:r>
        <w:rPr>
          <w:rFonts w:hint="eastAsia" w:ascii="黑体" w:hAnsi="黑体" w:eastAsia="黑体"/>
          <w:b/>
          <w:sz w:val="30"/>
          <w:szCs w:val="30"/>
        </w:rPr>
        <w:t xml:space="preserve">指 标 </w:t>
      </w:r>
      <w:r>
        <w:rPr>
          <w:rFonts w:hint="eastAsia" w:ascii="黑体" w:hAnsi="黑体" w:eastAsia="黑体"/>
          <w:b/>
          <w:bCs/>
          <w:sz w:val="30"/>
          <w:szCs w:val="30"/>
        </w:rPr>
        <w:t>体 系</w:t>
      </w:r>
    </w:p>
    <w:p>
      <w:pPr>
        <w:spacing w:line="48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评价标准共包括五个评价指标体系：规划设计评价指标体系；建筑设计评价指标体系；工程质量评价指标体系；产业化技术应用评价指标体系；物业管理评价指标体系。</w:t>
      </w:r>
    </w:p>
    <w:p>
      <w:pPr>
        <w:spacing w:line="600" w:lineRule="exact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五个评价指标体系满分为500分，其中每个评价指标体系满分为100分。具体评价指标及分值详见表1-表5。</w:t>
      </w:r>
    </w:p>
    <w:p>
      <w:pPr>
        <w:spacing w:line="600" w:lineRule="exact"/>
        <w:ind w:firstLine="420" w:firstLineChars="200"/>
        <w:rPr>
          <w:rFonts w:hint="eastAsia" w:ascii="宋体" w:hAnsi="宋体"/>
          <w:bCs/>
          <w:szCs w:val="21"/>
        </w:rPr>
      </w:pPr>
    </w:p>
    <w:p>
      <w:pPr>
        <w:spacing w:line="600" w:lineRule="exact"/>
        <w:rPr>
          <w:rFonts w:hint="eastAsia" w:ascii="宋体" w:hAnsi="宋体"/>
          <w:bCs/>
          <w:szCs w:val="21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margin" w:tblpX="-176" w:tblpY="811"/>
        <w:tblOverlap w:val="never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610"/>
        <w:gridCol w:w="5531"/>
        <w:gridCol w:w="856"/>
        <w:gridCol w:w="590"/>
        <w:gridCol w:w="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428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610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主要评价内容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2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</w:t>
            </w:r>
          </w:p>
          <w:p>
            <w:pPr>
              <w:spacing w:line="220" w:lineRule="exact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  <w:tc>
          <w:tcPr>
            <w:tcW w:w="805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实得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4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61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规划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结构</w:t>
            </w: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选址符合城市总体规划及区域控制性详细规划要求，与周边环境协调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80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</w:pPr>
            <w:r>
              <w:rPr>
                <w:rFonts w:hint="eastAsia"/>
              </w:rPr>
              <w:t>远离污染源，避免和有效控制水体、空气、噪声、电磁辐射等污染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住区功能分区明确，布局结构清晰，用地合理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合理控制容积率、建筑密度和套密度</w:t>
            </w:r>
          </w:p>
        </w:tc>
        <w:tc>
          <w:tcPr>
            <w:tcW w:w="856" w:type="dxa"/>
            <w:vAlign w:val="center"/>
          </w:tcPr>
          <w:p>
            <w:pPr>
              <w:tabs>
                <w:tab w:val="right" w:pos="213"/>
                <w:tab w:val="right" w:pos="497"/>
              </w:tabs>
              <w:spacing w:line="220" w:lineRule="exact"/>
              <w:ind w:right="288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合理利用原有地形，注重生态保护，规划有特色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61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群体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空间</w:t>
            </w: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建筑空间层次清晰，形态丰富，错落有致</w:t>
            </w:r>
          </w:p>
        </w:tc>
        <w:tc>
          <w:tcPr>
            <w:tcW w:w="856" w:type="dxa"/>
            <w:tcBorders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0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20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20</w:t>
            </w:r>
          </w:p>
        </w:tc>
        <w:tc>
          <w:tcPr>
            <w:tcW w:w="80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设有邻里交往空间，位置布局得当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住宅布置满足日照采光条件，利于环境自然通风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空间尺度合理，体现地方建筑文化特色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充分利用地下空间，节约土地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4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61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道路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交通</w:t>
            </w:r>
          </w:p>
        </w:tc>
        <w:tc>
          <w:tcPr>
            <w:tcW w:w="5531" w:type="dxa"/>
            <w:vAlign w:val="center"/>
          </w:tcPr>
          <w:p>
            <w:r>
              <w:rPr>
                <w:rFonts w:hint="eastAsia"/>
              </w:rPr>
              <w:t>交通结构清晰，分级明确，布置合理，减少人车相互干扰；满足消防、救护及避灾要求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spacing w:line="220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20</w:t>
            </w:r>
          </w:p>
        </w:tc>
        <w:tc>
          <w:tcPr>
            <w:tcW w:w="80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停车位置恰当，停车数量符合要求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住区出入口选择符合城市交通要求，符合主要人流方向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道路宽度符合规范要求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4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61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环境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景观</w:t>
            </w:r>
          </w:p>
        </w:tc>
        <w:tc>
          <w:tcPr>
            <w:tcW w:w="5531" w:type="dxa"/>
            <w:vAlign w:val="center"/>
          </w:tcPr>
          <w:p>
            <w:r>
              <w:rPr>
                <w:rFonts w:hint="eastAsia"/>
              </w:rPr>
              <w:t>总体布局合理，符合人们的活动规律和空间要求，居住环境优雅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spacing w:line="220" w:lineRule="exac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15</w:t>
            </w:r>
          </w:p>
        </w:tc>
        <w:tc>
          <w:tcPr>
            <w:tcW w:w="80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绿地率&gt;30%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绿化植物品种选择合理，搭配有序，以本土植被为主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安全、便民标志物设置位置恰当，醒目易识别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水景景观符合节水、卫生及安全要求，水质清洁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4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1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公共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设施</w:t>
            </w: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公共服务设施配置齐全，布局合理，方便人们日常使用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0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80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4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0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1" w:type="dxa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公建平面功能完善，建筑造型美观，与整体环境协调</w:t>
            </w:r>
          </w:p>
        </w:tc>
        <w:tc>
          <w:tcPr>
            <w:tcW w:w="856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0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600" w:lineRule="exact"/>
        <w:ind w:firstLine="1807" w:firstLineChars="600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　表1　规划设计评价指标及分值</w:t>
      </w:r>
    </w:p>
    <w:tbl>
      <w:tblPr>
        <w:tblStyle w:val="5"/>
        <w:tblpPr w:leftFromText="180" w:rightFromText="180" w:vertAnchor="text" w:horzAnchor="margin" w:tblpXSpec="center" w:tblpY="-14"/>
        <w:tblOverlap w:val="never"/>
        <w:tblW w:w="88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612"/>
        <w:gridCol w:w="5550"/>
        <w:gridCol w:w="859"/>
        <w:gridCol w:w="592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612" w:type="dxa"/>
            <w:vMerge w:val="restart"/>
            <w:vAlign w:val="bottom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公共</w:t>
            </w:r>
          </w:p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设施</w:t>
            </w:r>
          </w:p>
        </w:tc>
        <w:tc>
          <w:tcPr>
            <w:tcW w:w="5550" w:type="dxa"/>
            <w:vAlign w:val="center"/>
          </w:tcPr>
          <w:p>
            <w:r>
              <w:rPr>
                <w:rFonts w:hint="eastAsia"/>
              </w:rPr>
              <w:t>垃圾收集清运或就地处理设施齐全；垃圾站位置选择对居民生活无干扰</w:t>
            </w:r>
          </w:p>
        </w:tc>
        <w:tc>
          <w:tcPr>
            <w:tcW w:w="859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vMerge w:val="continue"/>
            <w:tcBorders>
              <w:bottom w:val="nil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50" w:type="dxa"/>
            <w:vMerge w:val="restart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市政基础设施配套齐全，接口到位</w:t>
            </w:r>
          </w:p>
        </w:tc>
        <w:tc>
          <w:tcPr>
            <w:tcW w:w="859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tcBorders>
              <w:top w:val="nil"/>
            </w:tcBorders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50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9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dxa"/>
            <w:vMerge w:val="continue"/>
            <w:vAlign w:val="center"/>
          </w:tcPr>
          <w:p>
            <w:pPr>
              <w:spacing w:line="220" w:lineRule="exact"/>
              <w:ind w:left="294" w:leftChars="140"/>
              <w:rPr>
                <w:rFonts w:ascii="宋体" w:hAnsi="宋体"/>
                <w:szCs w:val="21"/>
              </w:rPr>
            </w:pPr>
          </w:p>
        </w:tc>
        <w:tc>
          <w:tcPr>
            <w:tcW w:w="80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429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61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技术经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济指标</w:t>
            </w:r>
          </w:p>
        </w:tc>
        <w:tc>
          <w:tcPr>
            <w:tcW w:w="5550" w:type="dxa"/>
            <w:vAlign w:val="center"/>
          </w:tcPr>
          <w:p>
            <w:r>
              <w:rPr>
                <w:rFonts w:hint="eastAsia"/>
              </w:rPr>
              <w:t>项目总建筑面积、住宅公建和商业建筑面积、容积率、建筑密度、居住套密度、绿地率、人均绿化面积、停车率、居住户数及人口等符合国家和地方相关规定要求</w:t>
            </w:r>
          </w:p>
        </w:tc>
        <w:tc>
          <w:tcPr>
            <w:tcW w:w="85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2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80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429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vMerge w:val="continue"/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550" w:type="dxa"/>
            <w:vAlign w:val="center"/>
          </w:tcPr>
          <w:p>
            <w:r>
              <w:rPr>
                <w:rFonts w:hint="eastAsia"/>
              </w:rPr>
              <w:t>小区中小套型所占比例、高层与多层住宅比例、住宅平均层数符合国家和地方要求</w:t>
            </w:r>
          </w:p>
        </w:tc>
        <w:tc>
          <w:tcPr>
            <w:tcW w:w="85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2" w:type="dxa"/>
            <w:vMerge w:val="continue"/>
            <w:vAlign w:val="center"/>
          </w:tcPr>
          <w:p>
            <w:pPr>
              <w:spacing w:line="24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  <w:tc>
          <w:tcPr>
            <w:tcW w:w="80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6591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合计分值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spacing w:line="240" w:lineRule="exact"/>
              <w:ind w:left="168" w:leftChars="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满分100</w:t>
            </w:r>
          </w:p>
        </w:tc>
        <w:tc>
          <w:tcPr>
            <w:tcW w:w="808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jc w:val="center"/>
        <w:rPr>
          <w:rFonts w:ascii="宋体" w:hAnsi="宋体"/>
          <w:b/>
          <w:szCs w:val="21"/>
        </w:rPr>
      </w:pPr>
    </w:p>
    <w:p>
      <w:pPr>
        <w:rPr>
          <w:rFonts w:ascii="宋体" w:hAnsi="宋体"/>
          <w:b/>
          <w:szCs w:val="21"/>
        </w:rPr>
      </w:pP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表2</w:t>
      </w:r>
      <w:r>
        <w:rPr>
          <w:rFonts w:hint="eastAsia" w:ascii="黑体" w:hAnsi="黑体" w:eastAsia="黑体"/>
          <w:b/>
          <w:sz w:val="30"/>
          <w:szCs w:val="30"/>
        </w:rPr>
        <w:t>　建筑设计评价指标及分值</w:t>
      </w:r>
    </w:p>
    <w:p>
      <w:pPr>
        <w:jc w:val="center"/>
        <w:rPr>
          <w:rFonts w:ascii="宋体" w:hAnsi="华文中宋"/>
          <w:szCs w:val="36"/>
        </w:rPr>
      </w:pPr>
    </w:p>
    <w:tbl>
      <w:tblPr>
        <w:tblStyle w:val="5"/>
        <w:tblW w:w="9215" w:type="dxa"/>
        <w:tblInd w:w="-3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1198"/>
        <w:gridCol w:w="6036"/>
        <w:gridCol w:w="712"/>
        <w:gridCol w:w="426"/>
        <w:gridCol w:w="32"/>
        <w:gridCol w:w="362"/>
        <w:gridCol w:w="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cantSplit/>
          <w:trHeight w:val="617" w:hRule="atLeast"/>
        </w:trPr>
        <w:tc>
          <w:tcPr>
            <w:tcW w:w="41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19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项 目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主要评价内容</w:t>
            </w:r>
          </w:p>
        </w:tc>
        <w:tc>
          <w:tcPr>
            <w:tcW w:w="1170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标准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分值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实得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6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功能与空</w:t>
            </w:r>
          </w:p>
          <w:p>
            <w:pPr>
              <w:jc w:val="center"/>
            </w:pPr>
            <w:r>
              <w:rPr>
                <w:rFonts w:hint="eastAsia"/>
              </w:rPr>
              <w:t>间布局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单元与套内功能空间布局与分区合理，流线顺畅、便捷，空间关系紧凑、利用充分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  <w:p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套内起居室（厅）、厨房、卫生间、储藏间等基本空间齐备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单元楼（电）梯间布置紧凑，符合相关要求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9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每套住宅至少有1个居住空间大寒日获得2小时日照。有4个以上居住空间时，其中有2个或2个以上居住空间大寒日获得2小时日照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各套之间无视线干扰，门开启后互不影响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单元入口处设分户信报箱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采光与采暖通风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有良好的采光、通风条件，窗地比与窗墙比选择恰当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凹口设置合理，宽深比例适宜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每套住宅自然通风开口面积不应小于地面面积5%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对单元中部套型采取有效的通风措施，实行供热分户计量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建筑声环境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对外部环境噪声采取了有效隔绝措施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分户墙达到隔声标准要求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楼板达到隔声标准要求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卧室不与电梯紧邻，起居室受条件限制紧邻电梯时采取隔声减震构造措施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厨卫与设备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厨卫建筑空间紧凑，设备及管线布置合理、配置齐全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6" w:type="dxa"/>
            <w:vMerge w:val="restart"/>
            <w:vAlign w:val="center"/>
          </w:tcPr>
          <w:p/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jc w:val="both"/>
            </w:pPr>
            <w:r>
              <w:rPr>
                <w:rFonts w:hint="eastAsia"/>
              </w:rPr>
              <w:t>厨房可直接采光和自然通风，对主要居住空间不产生干扰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41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03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无外窗的暗卫生间应设置防止回流的机械通风设施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每套住宅应设户配电箱，电源总开关应采用可同时断开扣线和中性线的开关装置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设有洗衣及晒衣的空间及设施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7层及以上住宅设电梯。12层及以上住宅设2部电梯，其中1部为消防电梯；单元之间按规定设连廊，并确保每栋住宅有一部可进担架的电梯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结构体系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结构体系设计合理，与建筑空间布局有机配合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26" w:type="dxa"/>
            <w:vMerge w:val="restart"/>
            <w:vAlign w:val="center"/>
          </w:tcPr>
          <w:p/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具有空间可灵活分隔布置的可能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建筑造型与色彩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建筑造型简洁、大方，色彩选用恰当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无大量装饰性构件，有地方居住建筑特色，装饰材料选用恰当、构造可靠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41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198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无障碍通行</w:t>
            </w: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有无障碍通行设计，有利于老弱病残群体通行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6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25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41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6036" w:type="dxa"/>
            <w:tcMar>
              <w:left w:w="57" w:type="dxa"/>
              <w:right w:w="57" w:type="dxa"/>
            </w:tcMar>
            <w:vAlign w:val="center"/>
          </w:tcPr>
          <w:p>
            <w:r>
              <w:rPr>
                <w:rFonts w:hint="eastAsia"/>
              </w:rPr>
              <w:t>套内无错层、无台阶等，适于无障碍通行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25" w:type="dxa"/>
            <w:gridSpan w:val="3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2" w:hRule="atLeast"/>
        </w:trPr>
        <w:tc>
          <w:tcPr>
            <w:tcW w:w="765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合计分值</w:t>
            </w: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满分</w:t>
            </w:r>
          </w:p>
          <w:p>
            <w:pPr>
              <w:ind w:left="-4" w:leftChars="-2" w:firstLine="4" w:firstLineChars="2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851" w:type="dxa"/>
            <w:gridSpan w:val="4"/>
            <w:vAlign w:val="center"/>
          </w:tcPr>
          <w:p>
            <w:pPr>
              <w:ind w:left="-4" w:leftChars="-2" w:firstLine="4" w:firstLineChars="2"/>
              <w:jc w:val="center"/>
              <w:rPr>
                <w:sz w:val="24"/>
              </w:rPr>
            </w:pPr>
          </w:p>
        </w:tc>
      </w:tr>
    </w:tbl>
    <w:p>
      <w:pPr>
        <w:spacing w:line="600" w:lineRule="exact"/>
        <w:rPr>
          <w:rFonts w:ascii="宋体" w:hAnsi="宋体"/>
          <w:b/>
          <w:bCs/>
          <w:szCs w:val="21"/>
        </w:rPr>
      </w:pPr>
    </w:p>
    <w:p>
      <w:pPr>
        <w:spacing w:line="480" w:lineRule="exact"/>
        <w:rPr>
          <w:rFonts w:ascii="宋体" w:hAnsi="宋体"/>
          <w:b/>
          <w:bCs/>
          <w:szCs w:val="21"/>
        </w:rPr>
      </w:pPr>
    </w:p>
    <w:p/>
    <w:p/>
    <w:p/>
    <w:p>
      <w:pPr>
        <w:spacing w:line="300" w:lineRule="atLeast"/>
        <w:rPr>
          <w:b/>
          <w:bCs/>
        </w:rPr>
      </w:pPr>
    </w:p>
    <w:p>
      <w:pPr>
        <w:spacing w:line="300" w:lineRule="atLeast"/>
        <w:rPr>
          <w:b/>
          <w:bCs/>
        </w:rPr>
      </w:pPr>
    </w:p>
    <w:p>
      <w:pPr>
        <w:spacing w:line="300" w:lineRule="atLeast"/>
        <w:rPr>
          <w:b/>
          <w:bCs/>
        </w:rPr>
      </w:pPr>
    </w:p>
    <w:p>
      <w:pPr>
        <w:spacing w:line="300" w:lineRule="atLeast"/>
        <w:rPr>
          <w:b/>
          <w:bCs/>
        </w:rPr>
      </w:pPr>
    </w:p>
    <w:p>
      <w:pPr>
        <w:spacing w:line="300" w:lineRule="atLeast"/>
        <w:rPr>
          <w:b/>
          <w:bCs/>
        </w:rPr>
      </w:pPr>
    </w:p>
    <w:p>
      <w:pPr>
        <w:spacing w:line="300" w:lineRule="atLeast"/>
        <w:rPr>
          <w:b/>
          <w:bCs/>
        </w:rPr>
      </w:pPr>
    </w:p>
    <w:p>
      <w:pPr>
        <w:spacing w:line="300" w:lineRule="atLeas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表3　工程质量评价指标及分值</w:t>
      </w:r>
    </w:p>
    <w:p>
      <w:pPr>
        <w:spacing w:line="300" w:lineRule="atLeast"/>
        <w:jc w:val="center"/>
        <w:rPr>
          <w:b/>
          <w:bCs/>
        </w:rPr>
      </w:pPr>
    </w:p>
    <w:tbl>
      <w:tblPr>
        <w:tblStyle w:val="5"/>
        <w:tblW w:w="917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5730"/>
        <w:gridCol w:w="81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5730" w:type="dxa"/>
            <w:vAlign w:val="center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主要评价内容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标准</w:t>
            </w:r>
          </w:p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实得</w:t>
            </w:r>
          </w:p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结构</w:t>
            </w:r>
          </w:p>
          <w:p>
            <w:pPr>
              <w:jc w:val="center"/>
            </w:pPr>
            <w:r>
              <w:rPr>
                <w:rFonts w:hint="eastAsia"/>
              </w:rPr>
              <w:t>工程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对梁、板、柱几何尺寸及涉及混凝土结构安全的重要部位进行了结构实体检测，具有检测报告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屋面</w:t>
            </w:r>
          </w:p>
          <w:p>
            <w:pPr>
              <w:jc w:val="center"/>
            </w:pPr>
            <w:r>
              <w:rPr>
                <w:rFonts w:hint="eastAsia"/>
              </w:rPr>
              <w:t>工程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防水材料及防水效果符合质量要求，找平层、保温层及密封材料嵌缝与细部构造满足工程质量验评标准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675" w:type="dxa"/>
            <w:vMerge w:val="restart"/>
          </w:tcPr>
          <w:p>
            <w:pPr>
              <w:spacing w:line="360" w:lineRule="auto"/>
            </w:pP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装饰</w:t>
            </w:r>
          </w:p>
          <w:p>
            <w:pPr>
              <w:jc w:val="center"/>
            </w:pPr>
            <w:r>
              <w:rPr>
                <w:rFonts w:hint="eastAsia"/>
              </w:rPr>
              <w:t>装修</w:t>
            </w:r>
          </w:p>
          <w:p>
            <w:pPr>
              <w:jc w:val="center"/>
            </w:pPr>
            <w:r>
              <w:rPr>
                <w:rFonts w:hint="eastAsia"/>
              </w:rPr>
              <w:t>工程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地面、抹灰、吊顶、隔墙、饰面板（砖）、门窗、幕墙等子分部工程以及墙面平整、无漏网、无裂缝、阴阳角顺直、空鼓等细部质量满足工程质量标准要求</w:t>
            </w:r>
          </w:p>
        </w:tc>
        <w:tc>
          <w:tcPr>
            <w:tcW w:w="816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675" w:type="dxa"/>
            <w:vMerge w:val="continue"/>
          </w:tcPr>
          <w:p>
            <w:pPr>
              <w:spacing w:line="600" w:lineRule="auto"/>
              <w:jc w:val="center"/>
            </w:pPr>
          </w:p>
        </w:tc>
        <w:tc>
          <w:tcPr>
            <w:tcW w:w="1134" w:type="dxa"/>
            <w:vMerge w:val="continue"/>
          </w:tcPr>
          <w:p>
            <w:pPr>
              <w:jc w:val="center"/>
            </w:pP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室内放射物、游离甲醛等挥发性有机化合物浓度达到有关标准要求</w:t>
            </w:r>
          </w:p>
        </w:tc>
        <w:tc>
          <w:tcPr>
            <w:tcW w:w="816" w:type="dxa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675" w:type="dxa"/>
          </w:tcPr>
          <w:p>
            <w:pPr>
              <w:spacing w:line="360" w:lineRule="auto"/>
              <w:jc w:val="center"/>
            </w:pP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给排水、</w:t>
            </w:r>
          </w:p>
          <w:p>
            <w:pPr>
              <w:jc w:val="center"/>
            </w:pPr>
            <w:r>
              <w:rPr>
                <w:rFonts w:hint="eastAsia"/>
              </w:rPr>
              <w:t>采暖工程</w:t>
            </w:r>
          </w:p>
        </w:tc>
        <w:tc>
          <w:tcPr>
            <w:tcW w:w="5730" w:type="dxa"/>
          </w:tcPr>
          <w:p>
            <w:pPr>
              <w:jc w:val="left"/>
            </w:pPr>
            <w:r>
              <w:rPr>
                <w:rFonts w:hint="eastAsia"/>
              </w:rPr>
              <w:t>室内外供水、排水、采暖、泳池、卫生洁具、消火栓等系统管道和配件安装以及防腐、保温满足质量验评标准要求</w:t>
            </w:r>
          </w:p>
        </w:tc>
        <w:tc>
          <w:tcPr>
            <w:tcW w:w="816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电气</w:t>
            </w:r>
          </w:p>
          <w:p>
            <w:pPr>
              <w:jc w:val="center"/>
            </w:pPr>
            <w:r>
              <w:rPr>
                <w:rFonts w:hint="eastAsia"/>
              </w:rPr>
              <w:t>安装</w:t>
            </w:r>
          </w:p>
          <w:p>
            <w:pPr>
              <w:jc w:val="center"/>
            </w:pPr>
            <w:r>
              <w:rPr>
                <w:rFonts w:hint="eastAsia"/>
              </w:rPr>
              <w:t>工程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电线管、桥架、线槽导线及电缆敷设、接地防雷装置安装、照明灯具开关、插座以及配电箱柜安装满足质量验评标准要求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智能建</w:t>
            </w:r>
          </w:p>
          <w:p>
            <w:pPr>
              <w:jc w:val="center"/>
            </w:pPr>
            <w:r>
              <w:rPr>
                <w:rFonts w:hint="eastAsia"/>
              </w:rPr>
              <w:t>筑工程</w:t>
            </w:r>
          </w:p>
        </w:tc>
        <w:tc>
          <w:tcPr>
            <w:tcW w:w="5730" w:type="dxa"/>
          </w:tcPr>
          <w:p>
            <w:pPr>
              <w:jc w:val="left"/>
            </w:pPr>
            <w:r>
              <w:rPr>
                <w:rFonts w:hint="eastAsia"/>
              </w:rPr>
              <w:t>火警自动报警系统、消防联动系统、安全防范系统、智能信息平台建设等符合相关质量标准和验收规定要求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  <w:p>
            <w:pPr>
              <w:spacing w:line="30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通风空</w:t>
            </w:r>
          </w:p>
          <w:p>
            <w:pPr>
              <w:jc w:val="center"/>
            </w:pPr>
            <w:r>
              <w:rPr>
                <w:rFonts w:hint="eastAsia"/>
              </w:rPr>
              <w:t>调工程</w:t>
            </w:r>
          </w:p>
        </w:tc>
        <w:tc>
          <w:tcPr>
            <w:tcW w:w="5730" w:type="dxa"/>
          </w:tcPr>
          <w:p>
            <w:pPr>
              <w:jc w:val="left"/>
            </w:pPr>
            <w:r>
              <w:rPr>
                <w:rFonts w:hint="eastAsia"/>
              </w:rPr>
              <w:t>风管与配件制作、风管系统安装、空调水管、管道保温、防腐与绝热等质量符合相关标准和验收规定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75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电梯安</w:t>
            </w:r>
          </w:p>
          <w:p>
            <w:pPr>
              <w:jc w:val="center"/>
            </w:pPr>
            <w:r>
              <w:rPr>
                <w:rFonts w:hint="eastAsia"/>
              </w:rPr>
              <w:t>装工程</w:t>
            </w:r>
          </w:p>
        </w:tc>
        <w:tc>
          <w:tcPr>
            <w:tcW w:w="5730" w:type="dxa"/>
          </w:tcPr>
          <w:p>
            <w:pPr>
              <w:jc w:val="left"/>
            </w:pPr>
            <w:r>
              <w:rPr>
                <w:rFonts w:hint="eastAsia"/>
              </w:rPr>
              <w:t>驱动主机、导轨、门系统、轿厢、悬挂装置、电气装置等设备进场验收、土建交接检验、整机安装验收及定期检验等符合相关标准及规定要求</w:t>
            </w:r>
          </w:p>
        </w:tc>
        <w:tc>
          <w:tcPr>
            <w:tcW w:w="816" w:type="dxa"/>
          </w:tcPr>
          <w:p>
            <w:pPr>
              <w:spacing w:line="60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675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34" w:type="dxa"/>
          </w:tcPr>
          <w:p>
            <w:pPr>
              <w:jc w:val="center"/>
            </w:pPr>
            <w:r>
              <w:rPr>
                <w:rFonts w:hint="eastAsia"/>
              </w:rPr>
              <w:t>公共服务配套设施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小区市政公用、社区服务设施；老人、儿童活动场地；道路、广场、庭院；台阶、坡道、散水坡与排水沟；管井、绿化、小品及广场照明等符合相关标准及环境景观要求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675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34" w:type="dxa"/>
          </w:tcPr>
          <w:p>
            <w:pPr>
              <w:rPr>
                <w:shd w:val="pct10" w:color="auto" w:fill="FFFFFF"/>
              </w:rPr>
            </w:pPr>
            <w:r>
              <w:rPr>
                <w:rFonts w:hint="eastAsia"/>
              </w:rPr>
              <w:t>主要技术及质量保证资料</w:t>
            </w:r>
          </w:p>
        </w:tc>
        <w:tc>
          <w:tcPr>
            <w:tcW w:w="5730" w:type="dxa"/>
          </w:tcPr>
          <w:p>
            <w:pPr>
              <w:spacing w:line="300" w:lineRule="atLeast"/>
              <w:jc w:val="left"/>
            </w:pPr>
            <w:r>
              <w:rPr>
                <w:rFonts w:hint="eastAsia"/>
              </w:rPr>
              <w:t>施工图设计文件审查报告和批准书；中标通知书及承包合同；施工组织设计及施工现场总平面布置图；技术交底记录；隐蔽工程记录；检测报告；质量检查记录；竣工验收报告；施工方案和质量控制措施；监理出具的建设工程质量评估报告；参加验收业主代表认可意见；设计单位和施工图审查机构认可文件；工程竣工验收备案证书等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539" w:type="dxa"/>
            <w:gridSpan w:val="3"/>
            <w:vAlign w:val="center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合计分值</w:t>
            </w:r>
          </w:p>
        </w:tc>
        <w:tc>
          <w:tcPr>
            <w:tcW w:w="816" w:type="dxa"/>
            <w:vAlign w:val="center"/>
          </w:tcPr>
          <w:p>
            <w:pPr>
              <w:spacing w:line="300" w:lineRule="atLeast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816" w:type="dxa"/>
          </w:tcPr>
          <w:p>
            <w:pPr>
              <w:spacing w:line="300" w:lineRule="atLeast"/>
              <w:jc w:val="center"/>
            </w:pPr>
          </w:p>
        </w:tc>
      </w:tr>
    </w:tbl>
    <w:p>
      <w:pPr>
        <w:spacing w:line="300" w:lineRule="atLeast"/>
        <w:ind w:firstLine="420" w:firstLineChars="200"/>
      </w:pPr>
    </w:p>
    <w:p>
      <w:pPr>
        <w:spacing w:line="300" w:lineRule="atLeast"/>
        <w:jc w:val="center"/>
        <w:rPr>
          <w:b/>
          <w:bCs/>
        </w:rPr>
      </w:pPr>
    </w:p>
    <w:p>
      <w:pPr>
        <w:rPr>
          <w:b/>
          <w:bCs/>
        </w:rPr>
      </w:pPr>
    </w:p>
    <w:p>
      <w:pPr>
        <w:ind w:firstLine="1355" w:firstLineChars="450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　表4  产业化技术应用评价指标及分值</w:t>
      </w:r>
    </w:p>
    <w:p>
      <w:pPr>
        <w:jc w:val="left"/>
      </w:pPr>
    </w:p>
    <w:tbl>
      <w:tblPr>
        <w:tblStyle w:val="5"/>
        <w:tblW w:w="94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705"/>
        <w:gridCol w:w="690"/>
        <w:gridCol w:w="5790"/>
        <w:gridCol w:w="510"/>
        <w:gridCol w:w="525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579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主要评价内容</w:t>
            </w:r>
          </w:p>
        </w:tc>
        <w:tc>
          <w:tcPr>
            <w:tcW w:w="1035" w:type="dxa"/>
            <w:gridSpan w:val="2"/>
          </w:tcPr>
          <w:p>
            <w:r>
              <w:rPr>
                <w:rFonts w:hint="eastAsia"/>
              </w:rPr>
              <w:t>　标准</w:t>
            </w:r>
          </w:p>
          <w:p>
            <w:r>
              <w:rPr>
                <w:rFonts w:hint="eastAsia"/>
              </w:rPr>
              <w:t>　分值</w:t>
            </w:r>
          </w:p>
        </w:tc>
        <w:tc>
          <w:tcPr>
            <w:tcW w:w="606" w:type="dxa"/>
          </w:tcPr>
          <w:p>
            <w:pPr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实得</w:t>
            </w:r>
          </w:p>
          <w:p>
            <w:pPr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5" w:type="dxa"/>
            <w:vMerge w:val="restart"/>
          </w:tcPr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节能</w:t>
            </w:r>
          </w:p>
          <w:p>
            <w:r>
              <w:rPr>
                <w:rFonts w:hint="eastAsia"/>
              </w:rPr>
              <w:t>技术</w:t>
            </w:r>
          </w:p>
          <w:p/>
        </w:tc>
        <w:tc>
          <w:tcPr>
            <w:tcW w:w="690" w:type="dxa"/>
            <w:vMerge w:val="restart"/>
          </w:tcPr>
          <w:p/>
          <w:p>
            <w:r>
              <w:rPr>
                <w:rFonts w:hint="eastAsia"/>
              </w:rPr>
              <w:t>能源</w:t>
            </w:r>
          </w:p>
          <w:p>
            <w:r>
              <w:rPr>
                <w:rFonts w:hint="eastAsia"/>
              </w:rPr>
              <w:t>利用</w:t>
            </w:r>
          </w:p>
          <w:p/>
        </w:tc>
        <w:tc>
          <w:tcPr>
            <w:tcW w:w="5790" w:type="dxa"/>
          </w:tcPr>
          <w:p>
            <w:r>
              <w:rPr>
                <w:rFonts w:hint="eastAsia"/>
              </w:rPr>
              <w:t>浅层地能利用技术（水源热泵、地源热泵、污水和废水热泵等技术应用）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利用太阳能技术供生活热水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室外照明等采用太阳能、风能等节能技术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</w:tcPr>
          <w:p/>
          <w:p/>
          <w:p/>
          <w:p/>
          <w:p>
            <w:r>
              <w:rPr>
                <w:rFonts w:hint="eastAsia"/>
              </w:rPr>
              <w:t>建筑</w:t>
            </w:r>
          </w:p>
          <w:p>
            <w:r>
              <w:rPr>
                <w:rFonts w:hint="eastAsia"/>
              </w:rPr>
              <w:t>构造</w:t>
            </w:r>
          </w:p>
          <w:p/>
        </w:tc>
        <w:tc>
          <w:tcPr>
            <w:tcW w:w="5790" w:type="dxa"/>
          </w:tcPr>
          <w:p>
            <w:r>
              <w:rPr>
                <w:rFonts w:hint="eastAsia"/>
              </w:rPr>
              <w:t>墙体系统——外墙外保温隔热技术（包括多层复合墙体）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——外墙内保温隔热技术（包括夹芯保温隔热墙体）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门窗系统——断桥式节能窗、中空玻璃门窗、多层中空玻璃门窗、门窗口密闭、防水、保温性能技术等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屋面系统——保温隔热层屋面、架空通风屋面、冷屋面系统（金属反射、浅色涂层反射）、倒置式屋面技术等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楼地面系统——保温隔声浮筑式楼面、底层楼面或地面层下设保温隔热层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</w:tcPr>
          <w:p/>
          <w:p/>
          <w:p>
            <w:r>
              <w:rPr>
                <w:rFonts w:hint="eastAsia"/>
              </w:rPr>
              <w:t>建筑</w:t>
            </w:r>
          </w:p>
          <w:p>
            <w:r>
              <w:rPr>
                <w:rFonts w:hint="eastAsia"/>
              </w:rPr>
              <w:t>设备</w:t>
            </w:r>
          </w:p>
          <w:p/>
        </w:tc>
        <w:tc>
          <w:tcPr>
            <w:tcW w:w="5790" w:type="dxa"/>
          </w:tcPr>
          <w:p>
            <w:r>
              <w:rPr>
                <w:rFonts w:hint="eastAsia"/>
              </w:rPr>
              <w:t>冷暖供给末端系统——高效散热器技术（铝制、钢制、铜制散热器）、电供暖技术等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电梯设备——具有变频调速、节约能耗技术特点等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配电照明系统——箱式变压器、非合晶变压器、节能光源灯具、节能调节设备等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空调采暖设备符合当地节能要求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</w:tcPr>
          <w:p>
            <w:r>
              <w:rPr>
                <w:rFonts w:hint="eastAsia"/>
              </w:rPr>
              <w:t>运行</w:t>
            </w:r>
          </w:p>
          <w:p>
            <w:r>
              <w:rPr>
                <w:rFonts w:hint="eastAsia"/>
              </w:rPr>
              <w:t>管理</w:t>
            </w:r>
          </w:p>
          <w:p/>
        </w:tc>
        <w:tc>
          <w:tcPr>
            <w:tcW w:w="5790" w:type="dxa"/>
          </w:tcPr>
          <w:p>
            <w:r>
              <w:rPr>
                <w:rFonts w:hint="eastAsia"/>
              </w:rPr>
              <w:t>智能化设备监控技术——设备运行、供热管网压力流量控制、数据远传收集、住宅区停车和安防系统管理等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公共场所节能灯具应用与控制——电子延时开关、声控开关等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分户、分室计量控温技术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5" w:type="dxa"/>
            <w:vMerge w:val="restart"/>
          </w:tcPr>
          <w:p/>
          <w:p>
            <w:r>
              <w:rPr>
                <w:rFonts w:hint="eastAsia"/>
              </w:rPr>
              <w:t>节地</w:t>
            </w:r>
          </w:p>
          <w:p>
            <w:r>
              <w:rPr>
                <w:rFonts w:hint="eastAsia"/>
              </w:rPr>
              <w:t>技术</w:t>
            </w:r>
          </w:p>
          <w:p/>
        </w:tc>
        <w:tc>
          <w:tcPr>
            <w:tcW w:w="690" w:type="dxa"/>
            <w:vMerge w:val="restart"/>
          </w:tcPr>
          <w:p>
            <w:r>
              <w:rPr>
                <w:rFonts w:hint="eastAsia"/>
              </w:rPr>
              <w:t>规划</w:t>
            </w:r>
          </w:p>
          <w:p>
            <w:r>
              <w:rPr>
                <w:rFonts w:hint="eastAsia"/>
              </w:rPr>
              <w:t>设计</w:t>
            </w:r>
          </w:p>
        </w:tc>
        <w:tc>
          <w:tcPr>
            <w:tcW w:w="5790" w:type="dxa"/>
          </w:tcPr>
          <w:p>
            <w:r>
              <w:rPr>
                <w:rFonts w:hint="eastAsia"/>
              </w:rPr>
              <w:t>地下空间利用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日照朝向符合规划设计要求</w:t>
            </w:r>
          </w:p>
        </w:tc>
        <w:tc>
          <w:tcPr>
            <w:tcW w:w="510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</w:tcPr>
          <w:p>
            <w:r>
              <w:rPr>
                <w:rFonts w:hint="eastAsia"/>
              </w:rPr>
              <w:t>建筑</w:t>
            </w:r>
          </w:p>
          <w:p>
            <w:r>
              <w:rPr>
                <w:rFonts w:hint="eastAsia"/>
              </w:rPr>
              <w:t>设计</w:t>
            </w:r>
          </w:p>
        </w:tc>
        <w:tc>
          <w:tcPr>
            <w:tcW w:w="5790" w:type="dxa"/>
          </w:tcPr>
          <w:p>
            <w:r>
              <w:rPr>
                <w:rFonts w:hint="eastAsia"/>
              </w:rPr>
              <w:t>合理控制面宽进深，有效提高使用系数</w:t>
            </w:r>
          </w:p>
        </w:tc>
        <w:tc>
          <w:tcPr>
            <w:tcW w:w="510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建筑体型、高度、间距和占地面积符合建筑设计要求</w:t>
            </w:r>
          </w:p>
        </w:tc>
        <w:tc>
          <w:tcPr>
            <w:tcW w:w="510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5" w:type="dxa"/>
            <w:vMerge w:val="restart"/>
          </w:tcPr>
          <w:p/>
          <w:p/>
          <w:p>
            <w:r>
              <w:rPr>
                <w:rFonts w:hint="eastAsia"/>
              </w:rPr>
              <w:t>节水</w:t>
            </w:r>
          </w:p>
          <w:p>
            <w:r>
              <w:rPr>
                <w:rFonts w:hint="eastAsia"/>
              </w:rPr>
              <w:t>技术</w:t>
            </w:r>
          </w:p>
          <w:p/>
        </w:tc>
        <w:tc>
          <w:tcPr>
            <w:tcW w:w="690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节水</w:t>
            </w:r>
          </w:p>
          <w:p>
            <w:r>
              <w:rPr>
                <w:rFonts w:hint="eastAsia"/>
              </w:rPr>
              <w:t>设备</w:t>
            </w:r>
          </w:p>
        </w:tc>
        <w:tc>
          <w:tcPr>
            <w:tcW w:w="5790" w:type="dxa"/>
          </w:tcPr>
          <w:p>
            <w:r>
              <w:rPr>
                <w:rFonts w:hint="eastAsia"/>
              </w:rPr>
              <w:t>变频水泵、无负压稳流变量分压等稳压、变频调速供水技术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</w:tcPr>
          <w:p>
            <w:r>
              <w:rPr>
                <w:rFonts w:hint="eastAsia"/>
              </w:rPr>
              <w:t>再生</w:t>
            </w:r>
          </w:p>
          <w:p>
            <w:r>
              <w:rPr>
                <w:rFonts w:hint="eastAsia"/>
              </w:rPr>
              <w:t>水利</w:t>
            </w:r>
          </w:p>
          <w:p>
            <w:r>
              <w:rPr>
                <w:rFonts w:hint="eastAsia"/>
              </w:rPr>
              <w:t>用</w:t>
            </w:r>
          </w:p>
          <w:p/>
        </w:tc>
        <w:tc>
          <w:tcPr>
            <w:tcW w:w="5790" w:type="dxa"/>
          </w:tcPr>
          <w:p>
            <w:r>
              <w:rPr>
                <w:rFonts w:hint="eastAsia"/>
              </w:rPr>
              <w:t>中水回用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continue"/>
            <w:vAlign w:val="center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r>
              <w:rPr>
                <w:rFonts w:hint="eastAsia"/>
              </w:rPr>
              <w:t>雨水利用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continue"/>
            <w:vAlign w:val="center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2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</w:tcPr>
          <w:p>
            <w:pPr>
              <w:tabs>
                <w:tab w:val="right" w:pos="5574"/>
              </w:tabs>
              <w:spacing w:line="360" w:lineRule="auto"/>
            </w:pPr>
            <w:r>
              <w:rPr>
                <w:rFonts w:hint="eastAsia"/>
              </w:rPr>
              <w:t>景观水、泳池水等净化循环利用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continue"/>
            <w:vAlign w:val="center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5" w:type="dxa"/>
            <w:vMerge w:val="restart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节材</w:t>
            </w:r>
          </w:p>
          <w:p>
            <w:pPr>
              <w:jc w:val="center"/>
            </w:pPr>
            <w:r>
              <w:rPr>
                <w:rFonts w:hint="eastAsia"/>
              </w:rPr>
              <w:t>技术</w:t>
            </w:r>
          </w:p>
          <w:p/>
          <w:p/>
          <w:p>
            <w:pPr>
              <w:jc w:val="center"/>
            </w:pPr>
            <w:r>
              <w:rPr>
                <w:rFonts w:hint="eastAsia"/>
              </w:rPr>
              <w:t>节材</w:t>
            </w:r>
          </w:p>
          <w:p>
            <w:pPr>
              <w:jc w:val="center"/>
            </w:pPr>
            <w:r>
              <w:rPr>
                <w:rFonts w:hint="eastAsia"/>
              </w:rPr>
              <w:t>技术</w:t>
            </w:r>
          </w:p>
          <w:p/>
        </w:tc>
        <w:tc>
          <w:tcPr>
            <w:tcW w:w="690" w:type="dxa"/>
          </w:tcPr>
          <w:p/>
          <w:p>
            <w:r>
              <w:rPr>
                <w:rFonts w:hint="eastAsia"/>
              </w:rPr>
              <w:t>建筑</w:t>
            </w:r>
          </w:p>
          <w:p>
            <w:r>
              <w:rPr>
                <w:rFonts w:hint="eastAsia"/>
              </w:rPr>
              <w:t>结构</w:t>
            </w:r>
          </w:p>
          <w:p/>
        </w:tc>
        <w:tc>
          <w:tcPr>
            <w:tcW w:w="5790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采用框架、框剪、剪力墙、短肢剪力墙等混凝土结构；新型砌筑承重、非承重结构体系以及高强钢筋、门窗、减隔震等新材料、新技术、新产品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  <w:vAlign w:val="center"/>
          </w:tcPr>
          <w:p>
            <w:r>
              <w:rPr>
                <w:rFonts w:hint="eastAsia"/>
              </w:rPr>
              <w:t>建筑装修</w:t>
            </w:r>
          </w:p>
        </w:tc>
        <w:tc>
          <w:tcPr>
            <w:tcW w:w="5790" w:type="dxa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住宅装修一次到位或为业主装修提供有效服务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  <w:vAlign w:val="center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整体厨房、卫浴等工业化集成装修部品应用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  <w:vAlign w:val="center"/>
          </w:tcPr>
          <w:p>
            <w:r>
              <w:rPr>
                <w:rFonts w:hint="eastAsia"/>
              </w:rPr>
              <w:t>材料再生循环利用</w:t>
            </w:r>
          </w:p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粉煤灰砌块、矿渣混凝土砌块等工业废渣利用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  <w:vAlign w:val="center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废木屑、玻璃、塑料循环利用等废弃物再生利用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23" w:type="dxa"/>
            <w:vMerge w:val="continue"/>
            <w:tcBorders>
              <w:bottom w:val="single" w:color="auto" w:sz="4" w:space="0"/>
            </w:tcBorders>
          </w:tcPr>
          <w:p/>
        </w:tc>
        <w:tc>
          <w:tcPr>
            <w:tcW w:w="705" w:type="dxa"/>
            <w:vMerge w:val="continue"/>
            <w:tcBorders>
              <w:bottom w:val="single" w:color="auto" w:sz="4" w:space="0"/>
            </w:tcBorders>
          </w:tcPr>
          <w:p/>
        </w:tc>
        <w:tc>
          <w:tcPr>
            <w:tcW w:w="690" w:type="dxa"/>
            <w:vMerge w:val="continue"/>
            <w:tcBorders>
              <w:bottom w:val="single" w:color="auto" w:sz="4" w:space="0"/>
            </w:tcBorders>
            <w:vAlign w:val="center"/>
          </w:tcPr>
          <w:p/>
        </w:tc>
        <w:tc>
          <w:tcPr>
            <w:tcW w:w="5790" w:type="dxa"/>
            <w:tcBorders>
              <w:bottom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铜质管材、聚乙烯、聚丙烯、聚乙烯管材等新型可回收利用管材应用</w:t>
            </w:r>
          </w:p>
        </w:tc>
        <w:tc>
          <w:tcPr>
            <w:tcW w:w="5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  <w:tcBorders>
              <w:bottom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vMerge w:val="restart"/>
          </w:tcPr>
          <w:p/>
          <w:p>
            <w:r>
              <w:rPr>
                <w:rFonts w:hint="eastAsia"/>
              </w:rPr>
              <w:t>环境</w:t>
            </w:r>
          </w:p>
          <w:p>
            <w:r>
              <w:rPr>
                <w:rFonts w:hint="eastAsia"/>
              </w:rPr>
              <w:t>保护</w:t>
            </w:r>
          </w:p>
          <w:p>
            <w:r>
              <w:rPr>
                <w:rFonts w:hint="eastAsia"/>
              </w:rPr>
              <w:t>技术</w:t>
            </w:r>
          </w:p>
          <w:p/>
        </w:tc>
        <w:tc>
          <w:tcPr>
            <w:tcW w:w="690" w:type="dxa"/>
            <w:vMerge w:val="restart"/>
            <w:vAlign w:val="center"/>
          </w:tcPr>
          <w:p>
            <w:r>
              <w:rPr>
                <w:rFonts w:hint="eastAsia"/>
              </w:rPr>
              <w:t>室外</w:t>
            </w:r>
          </w:p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有中水回用、雨水收集、微喷灌等技术措施和规划目标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  <w:vAlign w:val="center"/>
          </w:tcPr>
          <w:p/>
        </w:tc>
        <w:tc>
          <w:tcPr>
            <w:tcW w:w="5790" w:type="dxa"/>
            <w:vAlign w:val="center"/>
          </w:tcPr>
          <w:p>
            <w:pPr>
              <w:rPr>
                <w:shd w:val="pct10" w:color="auto" w:fill="FFFFFF"/>
              </w:rPr>
            </w:pPr>
            <w:r>
              <w:rPr>
                <w:rFonts w:hint="eastAsia"/>
              </w:rPr>
              <w:t xml:space="preserve">小区绿地面积≥30%                                    </w:t>
            </w:r>
            <w:r>
              <w:rPr>
                <w:rFonts w:hint="eastAsia"/>
                <w:shd w:val="pct10" w:color="auto" w:fill="FFFFFF"/>
              </w:rPr>
              <w:t xml:space="preserve">              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  <w:vAlign w:val="center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垃圾收运处理系统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restart"/>
            <w:vAlign w:val="center"/>
          </w:tcPr>
          <w:p/>
          <w:p>
            <w:r>
              <w:rPr>
                <w:rFonts w:hint="eastAsia"/>
              </w:rPr>
              <w:t>室内</w:t>
            </w:r>
          </w:p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防结露、防霉菌、防放射性污染等控制措施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室内外管道隔声、设备隔声等控制措施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新风置换技术——负压微量、集中管道等新风置换技术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3" w:type="dxa"/>
            <w:vMerge w:val="continue"/>
          </w:tcPr>
          <w:p/>
        </w:tc>
        <w:tc>
          <w:tcPr>
            <w:tcW w:w="705" w:type="dxa"/>
            <w:vMerge w:val="continue"/>
          </w:tcPr>
          <w:p/>
        </w:tc>
        <w:tc>
          <w:tcPr>
            <w:tcW w:w="690" w:type="dxa"/>
            <w:vMerge w:val="continue"/>
          </w:tcPr>
          <w:p/>
        </w:tc>
        <w:tc>
          <w:tcPr>
            <w:tcW w:w="5790" w:type="dxa"/>
            <w:vAlign w:val="center"/>
          </w:tcPr>
          <w:p>
            <w:r>
              <w:rPr>
                <w:rFonts w:hint="eastAsia"/>
              </w:rPr>
              <w:t>防倒灌、防串气、防泛味等卫生防御技术</w:t>
            </w:r>
          </w:p>
        </w:tc>
        <w:tc>
          <w:tcPr>
            <w:tcW w:w="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606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80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合计分值</w:t>
            </w:r>
          </w:p>
        </w:tc>
        <w:tc>
          <w:tcPr>
            <w:tcW w:w="1035" w:type="dxa"/>
            <w:gridSpan w:val="2"/>
            <w:vAlign w:val="center"/>
          </w:tcPr>
          <w:p>
            <w:r>
              <w:rPr>
                <w:rFonts w:hint="eastAsia"/>
              </w:rPr>
              <w:t>满分100</w:t>
            </w:r>
          </w:p>
        </w:tc>
        <w:tc>
          <w:tcPr>
            <w:tcW w:w="606" w:type="dxa"/>
          </w:tcPr>
          <w:p/>
        </w:tc>
      </w:tr>
    </w:tbl>
    <w:p>
      <w:pPr>
        <w:rPr>
          <w:b/>
          <w:bCs/>
        </w:rPr>
      </w:pPr>
    </w:p>
    <w:p>
      <w:pPr>
        <w:jc w:val="center"/>
        <w:rPr>
          <w:b/>
          <w:bCs/>
        </w:rPr>
      </w:pPr>
    </w:p>
    <w:p>
      <w:pPr>
        <w:jc w:val="center"/>
        <w:rPr>
          <w:b/>
          <w:bCs/>
        </w:rPr>
      </w:pPr>
    </w:p>
    <w:p>
      <w:pPr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　表5　物业管理评价指标及分值</w:t>
      </w:r>
    </w:p>
    <w:p>
      <w:pPr>
        <w:jc w:val="left"/>
      </w:pP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440"/>
        <w:gridCol w:w="5663"/>
        <w:gridCol w:w="1080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5663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主要评价内容</w:t>
            </w:r>
          </w:p>
        </w:tc>
        <w:tc>
          <w:tcPr>
            <w:tcW w:w="1080" w:type="dxa"/>
          </w:tcPr>
          <w:p>
            <w:pPr>
              <w:jc w:val="center"/>
            </w:pPr>
            <w:r>
              <w:rPr>
                <w:rFonts w:hint="eastAsia"/>
              </w:rPr>
              <w:t>标准</w:t>
            </w:r>
          </w:p>
          <w:p>
            <w:pPr>
              <w:jc w:val="center"/>
            </w:pPr>
            <w:r>
              <w:rPr>
                <w:rFonts w:hint="eastAsia"/>
              </w:rPr>
              <w:t>分值</w:t>
            </w:r>
          </w:p>
        </w:tc>
        <w:tc>
          <w:tcPr>
            <w:tcW w:w="857" w:type="dxa"/>
          </w:tcPr>
          <w:p>
            <w:pPr>
              <w:jc w:val="center"/>
            </w:pPr>
            <w:r>
              <w:rPr>
                <w:rFonts w:hint="eastAsia"/>
              </w:rPr>
              <w:t>实得</w:t>
            </w:r>
          </w:p>
          <w:p>
            <w:pPr>
              <w:jc w:val="center"/>
            </w:pPr>
            <w:r>
              <w:rPr>
                <w:rFonts w:hint="eastAsi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承接、查验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物业承接、查验及相关手续齐全、完备</w:t>
            </w:r>
          </w:p>
        </w:tc>
        <w:tc>
          <w:tcPr>
            <w:tcW w:w="1080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组织机构</w:t>
            </w:r>
          </w:p>
          <w:p>
            <w:pPr>
              <w:jc w:val="center"/>
            </w:pPr>
            <w:r>
              <w:rPr>
                <w:rFonts w:hint="eastAsia"/>
              </w:rPr>
              <w:t>与管理</w:t>
            </w:r>
          </w:p>
          <w:p>
            <w:pPr>
              <w:jc w:val="center"/>
            </w:pPr>
            <w:r>
              <w:rPr>
                <w:rFonts w:hint="eastAsia"/>
              </w:rPr>
              <w:t>制度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建设单位在销售房屋前选聘物业管理企业实施统一、专业化管理，物业企业建立健全各项管理制度及岗位工作标准，并制定具体的落实措施和考核办法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40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房屋管理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房屋总平面图、地下管网图等工程图纸齐全；房屋数量、种类、用途分类统计成册，整洁、完好；主要路口设有路标，组团及幢、单元（门）、户门标号标志明显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环卫设施、</w:t>
            </w:r>
          </w:p>
          <w:p>
            <w:pPr>
              <w:jc w:val="center"/>
            </w:pPr>
            <w:r>
              <w:rPr>
                <w:rFonts w:hint="eastAsia"/>
              </w:rPr>
              <w:t>设备配置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环卫设备完备，设有垃圾箱、果皮箱、垃圾中转站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绿化及公共服务设施</w:t>
            </w:r>
          </w:p>
          <w:p>
            <w:pPr>
              <w:jc w:val="center"/>
            </w:pPr>
            <w:r>
              <w:rPr>
                <w:rFonts w:hint="eastAsia"/>
              </w:rPr>
              <w:t>养育维护</w:t>
            </w:r>
          </w:p>
        </w:tc>
        <w:tc>
          <w:tcPr>
            <w:tcW w:w="5663" w:type="dxa"/>
            <w:vAlign w:val="center"/>
          </w:tcPr>
          <w:p>
            <w:r>
              <w:rPr>
                <w:rFonts w:hint="eastAsia"/>
              </w:rPr>
              <w:t>小区绿地布局合理，花草树木与建筑小品配置得当，电梯、照明、绿化等设施设备维护措施得力，维修资金使用合理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供水、供暖、制冷、水处理系统设备</w:t>
            </w:r>
          </w:p>
          <w:p>
            <w:pPr>
              <w:jc w:val="center"/>
            </w:pPr>
            <w:r>
              <w:rPr>
                <w:rFonts w:hint="eastAsia"/>
              </w:rPr>
              <w:t>配置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档案资料齐全、分类成册、查阅方便；设备先进、节能明显、保障运行可靠；有应急处理方案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rFonts w:hint="eastAsia"/>
              </w:rPr>
              <w:t>电梯和照明系统设备</w:t>
            </w:r>
          </w:p>
          <w:p>
            <w:pPr>
              <w:jc w:val="center"/>
            </w:pPr>
            <w:r>
              <w:rPr>
                <w:rFonts w:hint="eastAsia"/>
              </w:rPr>
              <w:t>配置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电梯安全使用登记证、年检合格证等档案资料齐全、分类成册、查阅方便；设备先进、运行安全可靠、节能效率高；有应急处理方案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消防系统</w:t>
            </w:r>
          </w:p>
          <w:p>
            <w:pPr>
              <w:jc w:val="center"/>
            </w:pPr>
            <w:r>
              <w:rPr>
                <w:rFonts w:hint="eastAsia"/>
              </w:rPr>
              <w:t>设备配置</w:t>
            </w:r>
          </w:p>
          <w:p>
            <w:pPr>
              <w:jc w:val="center"/>
            </w:pPr>
            <w:r>
              <w:rPr>
                <w:rFonts w:hint="eastAsia"/>
              </w:rPr>
              <w:t>和标识</w:t>
            </w:r>
          </w:p>
        </w:tc>
        <w:tc>
          <w:tcPr>
            <w:tcW w:w="5663" w:type="dxa"/>
            <w:vAlign w:val="center"/>
          </w:tcPr>
          <w:p>
            <w:r>
              <w:rPr>
                <w:rFonts w:hint="eastAsia"/>
              </w:rPr>
              <w:t>档案资料齐全、分类成册、查阅方便；设备先进、标识醒目、满足消防要求，可随时启用；有应急处理方案</w:t>
            </w:r>
          </w:p>
        </w:tc>
        <w:tc>
          <w:tcPr>
            <w:tcW w:w="1080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便民服务与社区文体</w:t>
            </w:r>
          </w:p>
          <w:p>
            <w:pPr>
              <w:jc w:val="center"/>
            </w:pPr>
            <w:r>
              <w:rPr>
                <w:rFonts w:hint="eastAsia"/>
              </w:rPr>
              <w:t>设施配置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设施器材齐全、功能完善、场地整洁</w:t>
            </w:r>
          </w:p>
        </w:tc>
        <w:tc>
          <w:tcPr>
            <w:tcW w:w="1080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智能化管理和安防</w:t>
            </w:r>
          </w:p>
          <w:p>
            <w:pPr>
              <w:jc w:val="center"/>
            </w:pPr>
            <w:r>
              <w:rPr>
                <w:rFonts w:hint="eastAsia"/>
              </w:rPr>
              <w:t>设施配置</w:t>
            </w:r>
          </w:p>
        </w:tc>
        <w:tc>
          <w:tcPr>
            <w:tcW w:w="5663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设备配套、系统完善、保障运行可靠</w:t>
            </w:r>
          </w:p>
        </w:tc>
        <w:tc>
          <w:tcPr>
            <w:tcW w:w="1080" w:type="dxa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物业用房</w:t>
            </w:r>
          </w:p>
          <w:p>
            <w:pPr>
              <w:jc w:val="center"/>
            </w:pPr>
            <w:r>
              <w:rPr>
                <w:rFonts w:hint="eastAsia"/>
              </w:rPr>
              <w:t>配置</w:t>
            </w:r>
          </w:p>
        </w:tc>
        <w:tc>
          <w:tcPr>
            <w:tcW w:w="566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功能齐全、配置合理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7561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合计分值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满分100</w:t>
            </w:r>
          </w:p>
        </w:tc>
        <w:tc>
          <w:tcPr>
            <w:tcW w:w="857" w:type="dxa"/>
          </w:tcPr>
          <w:p>
            <w:pPr>
              <w:jc w:val="left"/>
            </w:pPr>
          </w:p>
        </w:tc>
      </w:tr>
    </w:tbl>
    <w:p>
      <w:pPr>
        <w:spacing w:line="480" w:lineRule="exact"/>
        <w:jc w:val="center"/>
        <w:rPr>
          <w:b/>
          <w:bCs/>
          <w:szCs w:val="21"/>
        </w:rPr>
      </w:pPr>
    </w:p>
    <w:p>
      <w:pPr>
        <w:spacing w:line="480" w:lineRule="exact"/>
        <w:jc w:val="center"/>
        <w:rPr>
          <w:b/>
          <w:bCs/>
          <w:szCs w:val="21"/>
        </w:rPr>
      </w:pPr>
    </w:p>
    <w:p>
      <w:pPr>
        <w:spacing w:line="480" w:lineRule="exact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三、综合评价</w:t>
      </w:r>
    </w:p>
    <w:p>
      <w:pPr>
        <w:spacing w:line="48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综合计分方式</w:t>
      </w:r>
    </w:p>
    <w:p>
      <w:pPr>
        <w:spacing w:line="480" w:lineRule="exact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省级“广厦奖”（住宅类）五个评价指标体系评价合计实得分值，乘以各项权重系数所得分相加即为该住宅项目“综合评价总分值”，作为最终入选省级“广厦奖”（住宅类）项目的依据。详见综合评价表。</w:t>
      </w:r>
    </w:p>
    <w:p>
      <w:pPr>
        <w:jc w:val="center"/>
      </w:pPr>
    </w:p>
    <w:p>
      <w:pPr>
        <w:ind w:firstLine="3162" w:firstLineChars="1050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　综合评价表</w:t>
      </w:r>
    </w:p>
    <w:p>
      <w:pPr>
        <w:jc w:val="center"/>
      </w:pPr>
    </w:p>
    <w:tbl>
      <w:tblPr>
        <w:tblStyle w:val="5"/>
        <w:tblW w:w="928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061"/>
        <w:gridCol w:w="1379"/>
        <w:gridCol w:w="1830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61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评价体系</w:t>
            </w:r>
          </w:p>
        </w:tc>
        <w:tc>
          <w:tcPr>
            <w:tcW w:w="1379" w:type="dxa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权重系数</w:t>
            </w:r>
          </w:p>
        </w:tc>
        <w:tc>
          <w:tcPr>
            <w:tcW w:w="1830" w:type="dxa"/>
          </w:tcPr>
          <w:p>
            <w:pPr>
              <w:jc w:val="center"/>
            </w:pPr>
            <w:r>
              <w:rPr>
                <w:rFonts w:hint="eastAsia"/>
              </w:rPr>
              <w:t>分项合计</w:t>
            </w:r>
          </w:p>
          <w:p>
            <w:pPr>
              <w:jc w:val="center"/>
            </w:pPr>
            <w:r>
              <w:rPr>
                <w:rFonts w:hint="eastAsia"/>
              </w:rPr>
              <w:t>实得分值</w:t>
            </w:r>
          </w:p>
        </w:tc>
        <w:tc>
          <w:tcPr>
            <w:tcW w:w="2363" w:type="dxa"/>
          </w:tcPr>
          <w:p>
            <w:pPr>
              <w:jc w:val="center"/>
            </w:pPr>
            <w:r>
              <w:rPr>
                <w:rFonts w:hint="eastAsia"/>
              </w:rPr>
              <w:t>权重得分（分项合计实得分值</w:t>
            </w:r>
            <w:r>
              <w:rPr>
                <w:rFonts w:ascii="Arial" w:hAnsi="Arial" w:cs="Arial"/>
              </w:rPr>
              <w:t>×</w:t>
            </w:r>
            <w:r>
              <w:rPr>
                <w:rFonts w:hint="eastAsia" w:ascii="Arial" w:hAnsi="Arial" w:cs="Arial"/>
              </w:rPr>
              <w:t>权重系数）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61" w:type="dxa"/>
          </w:tcPr>
          <w:p>
            <w:pPr>
              <w:jc w:val="left"/>
            </w:pPr>
            <w:r>
              <w:rPr>
                <w:rFonts w:hint="eastAsia"/>
              </w:rPr>
              <w:t>规划设计评价指标体系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17％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1" w:type="dxa"/>
          </w:tcPr>
          <w:p>
            <w:pPr>
              <w:jc w:val="left"/>
            </w:pPr>
            <w:r>
              <w:rPr>
                <w:rFonts w:hint="eastAsia"/>
              </w:rPr>
              <w:t>建筑设计评价指标体系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18％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61" w:type="dxa"/>
          </w:tcPr>
          <w:p>
            <w:pPr>
              <w:jc w:val="left"/>
            </w:pPr>
            <w:r>
              <w:rPr>
                <w:rFonts w:hint="eastAsia"/>
              </w:rPr>
              <w:t>工程质量评价指标体系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25％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61" w:type="dxa"/>
          </w:tcPr>
          <w:p>
            <w:pPr>
              <w:jc w:val="left"/>
            </w:pPr>
            <w:r>
              <w:rPr>
                <w:rFonts w:hint="eastAsia"/>
              </w:rPr>
              <w:t>产业化技术应用评价指标体系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25％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3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61" w:type="dxa"/>
          </w:tcPr>
          <w:p>
            <w:pPr>
              <w:jc w:val="left"/>
            </w:pPr>
            <w:r>
              <w:rPr>
                <w:rFonts w:hint="eastAsia"/>
              </w:rPr>
              <w:t>物业管理评价指标体系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15％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14" w:type="dxa"/>
            <w:gridSpan w:val="2"/>
          </w:tcPr>
          <w:p>
            <w:pPr>
              <w:jc w:val="center"/>
            </w:pPr>
            <w:r>
              <w:rPr>
                <w:rFonts w:hint="eastAsia"/>
              </w:rPr>
              <w:t>综合评价总得分</w:t>
            </w:r>
          </w:p>
        </w:tc>
        <w:tc>
          <w:tcPr>
            <w:tcW w:w="1379" w:type="dxa"/>
          </w:tcPr>
          <w:p>
            <w:pPr>
              <w:jc w:val="center"/>
            </w:pPr>
            <w:r>
              <w:rPr>
                <w:rFonts w:hint="eastAsia"/>
              </w:rPr>
              <w:t>100％</w:t>
            </w:r>
          </w:p>
        </w:tc>
        <w:tc>
          <w:tcPr>
            <w:tcW w:w="1830" w:type="dxa"/>
          </w:tcPr>
          <w:p>
            <w:pPr>
              <w:jc w:val="left"/>
            </w:pPr>
          </w:p>
        </w:tc>
        <w:tc>
          <w:tcPr>
            <w:tcW w:w="2363" w:type="dxa"/>
          </w:tcPr>
          <w:p>
            <w:pPr>
              <w:jc w:val="left"/>
            </w:pPr>
          </w:p>
        </w:tc>
      </w:tr>
    </w:tbl>
    <w:p>
      <w:pPr>
        <w:jc w:val="left"/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50942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7C93"/>
    <w:rsid w:val="00170BC4"/>
    <w:rsid w:val="004836E3"/>
    <w:rsid w:val="0079408A"/>
    <w:rsid w:val="00A47C93"/>
    <w:rsid w:val="00AF4E9E"/>
    <w:rsid w:val="00AF6761"/>
    <w:rsid w:val="00BB0392"/>
    <w:rsid w:val="00C07B30"/>
    <w:rsid w:val="00C30DC5"/>
    <w:rsid w:val="00CB1671"/>
    <w:rsid w:val="00EE5B25"/>
    <w:rsid w:val="00F57E43"/>
    <w:rsid w:val="04C95EC8"/>
    <w:rsid w:val="37005D09"/>
    <w:rsid w:val="4E7B4845"/>
    <w:rsid w:val="52647810"/>
    <w:rsid w:val="5B3224C8"/>
    <w:rsid w:val="5D59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content1-bt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文字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881</Words>
  <Characters>5028</Characters>
  <Lines>41</Lines>
  <Paragraphs>11</Paragraphs>
  <TotalTime>87</TotalTime>
  <ScaleCrop>false</ScaleCrop>
  <LinksUpToDate>false</LinksUpToDate>
  <CharactersWithSpaces>5898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2015-12-21T02:46:00Z</dcterms:created>
  <dc:creator>Administrator</dc:creator>
  <cp:lastModifiedBy>Administrator</cp:lastModifiedBy>
  <cp:lastPrinted>2019-06-17T05:13:54Z</cp:lastPrinted>
  <dcterms:modified xsi:type="dcterms:W3CDTF">2019-06-17T05:16:13Z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