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附件</w:t>
      </w:r>
      <w:bookmarkStart w:id="0" w:name="_GoBack"/>
      <w:bookmarkEnd w:id="0"/>
      <w:r>
        <w:rPr>
          <w:rFonts w:hint="eastAsia" w:ascii="仿宋" w:hAnsi="仿宋" w:eastAsia="仿宋" w:cs="仿宋"/>
          <w:b w:val="0"/>
          <w:bCs/>
          <w:sz w:val="30"/>
          <w:szCs w:val="30"/>
          <w:lang w:val="en-US" w:eastAsia="zh-CN"/>
        </w:rPr>
        <w:t>2</w:t>
      </w:r>
    </w:p>
    <w:p>
      <w:pPr>
        <w:jc w:val="center"/>
        <w:rPr>
          <w:rFonts w:hint="eastAsia" w:ascii="黑体" w:hAnsi="黑体" w:eastAsia="黑体" w:cs="黑体"/>
          <w:sz w:val="36"/>
          <w:szCs w:val="36"/>
        </w:rPr>
      </w:pPr>
      <w:r>
        <w:rPr>
          <w:rFonts w:hint="eastAsia" w:ascii="黑体" w:hAnsi="黑体" w:eastAsia="黑体" w:cs="黑体"/>
          <w:b/>
          <w:sz w:val="36"/>
          <w:szCs w:val="36"/>
          <w:lang w:eastAsia="zh-CN"/>
        </w:rPr>
        <w:t>黑龙江省</w:t>
      </w:r>
      <w:r>
        <w:rPr>
          <w:rFonts w:hint="eastAsia" w:ascii="黑体" w:hAnsi="黑体" w:eastAsia="黑体" w:cs="黑体"/>
          <w:b/>
          <w:sz w:val="36"/>
          <w:szCs w:val="36"/>
        </w:rPr>
        <w:t>房地产行业（开发企业）</w:t>
      </w:r>
      <w:r>
        <w:rPr>
          <w:rFonts w:hint="eastAsia" w:ascii="黑体" w:hAnsi="黑体" w:eastAsia="黑体" w:cs="黑体"/>
          <w:b/>
          <w:color w:val="000000"/>
          <w:kern w:val="0"/>
          <w:sz w:val="36"/>
          <w:szCs w:val="36"/>
        </w:rPr>
        <w:t>信用评价指标体系</w:t>
      </w:r>
    </w:p>
    <w:tbl>
      <w:tblPr>
        <w:tblStyle w:val="5"/>
        <w:tblpPr w:leftFromText="180" w:rightFromText="180" w:vertAnchor="page" w:horzAnchor="margin" w:tblpXSpec="center" w:tblpY="2398"/>
        <w:tblW w:w="15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90"/>
        <w:gridCol w:w="1409"/>
        <w:gridCol w:w="1570"/>
        <w:gridCol w:w="843"/>
        <w:gridCol w:w="4336"/>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67" w:hRule="atLeast"/>
        </w:trPr>
        <w:tc>
          <w:tcPr>
            <w:tcW w:w="1290"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一级指标</w:t>
            </w:r>
          </w:p>
        </w:tc>
        <w:tc>
          <w:tcPr>
            <w:tcW w:w="1409"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二级指标</w:t>
            </w:r>
          </w:p>
        </w:tc>
        <w:tc>
          <w:tcPr>
            <w:tcW w:w="1570"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三级指标</w:t>
            </w:r>
          </w:p>
        </w:tc>
        <w:tc>
          <w:tcPr>
            <w:tcW w:w="843"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分值</w:t>
            </w:r>
          </w:p>
        </w:tc>
        <w:tc>
          <w:tcPr>
            <w:tcW w:w="4336"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指标说明</w:t>
            </w:r>
          </w:p>
        </w:tc>
        <w:tc>
          <w:tcPr>
            <w:tcW w:w="5608" w:type="dxa"/>
            <w:vAlign w:val="center"/>
          </w:tcPr>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83" w:hRule="atLeast"/>
        </w:trPr>
        <w:tc>
          <w:tcPr>
            <w:tcW w:w="1290" w:type="dxa"/>
            <w:vMerge w:val="restart"/>
            <w:vAlign w:val="center"/>
          </w:tcPr>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1</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企业客观</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信用能力</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35</w:t>
            </w:r>
            <w:r>
              <w:rPr>
                <w:rFonts w:hint="eastAsia" w:ascii="仿宋" w:hAnsi="仿宋" w:eastAsia="仿宋" w:cs="宋体"/>
                <w:b/>
                <w:bCs/>
                <w:color w:val="000000"/>
                <w:kern w:val="0"/>
                <w:sz w:val="24"/>
                <w:szCs w:val="24"/>
              </w:rPr>
              <w:t>分</w:t>
            </w: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ind w:firstLine="482" w:firstLineChars="200"/>
              <w:jc w:val="both"/>
              <w:rPr>
                <w:rFonts w:ascii="仿宋" w:hAnsi="仿宋" w:eastAsia="仿宋" w:cs="宋体"/>
                <w:b/>
                <w:bCs/>
                <w:color w:val="000000"/>
                <w:kern w:val="0"/>
                <w:sz w:val="24"/>
                <w:szCs w:val="24"/>
              </w:rPr>
            </w:pPr>
            <w:r>
              <w:rPr>
                <w:rFonts w:ascii="仿宋" w:hAnsi="仿宋" w:eastAsia="仿宋" w:cs="宋体"/>
                <w:b/>
                <w:bCs/>
                <w:color w:val="000000"/>
                <w:kern w:val="0"/>
                <w:sz w:val="24"/>
                <w:szCs w:val="24"/>
              </w:rPr>
              <w:t>1</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企业客观</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信用能力</w:t>
            </w:r>
          </w:p>
          <w:p>
            <w:pPr>
              <w:autoSpaceDE w:val="0"/>
              <w:autoSpaceDN w:val="0"/>
              <w:adjustRightInd w:val="0"/>
              <w:ind w:firstLine="482" w:firstLineChars="200"/>
              <w:jc w:val="both"/>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35</w:t>
            </w:r>
            <w:r>
              <w:rPr>
                <w:rFonts w:hint="eastAsia" w:ascii="仿宋" w:hAnsi="仿宋" w:eastAsia="仿宋" w:cs="宋体"/>
                <w:b/>
                <w:bCs/>
                <w:color w:val="000000"/>
                <w:kern w:val="0"/>
                <w:sz w:val="24"/>
                <w:szCs w:val="24"/>
              </w:rPr>
              <w:t>分</w:t>
            </w: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基本信息</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1.1.1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经营年限</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经营年限是企业建设与成长的年限，一定程度反映企业信用建设，两者正相关。</w:t>
            </w:r>
          </w:p>
        </w:tc>
        <w:tc>
          <w:tcPr>
            <w:tcW w:w="5608" w:type="dxa"/>
            <w:vAlign w:val="center"/>
          </w:tcPr>
          <w:p>
            <w:pPr>
              <w:autoSpaceDE w:val="0"/>
              <w:autoSpaceDN w:val="0"/>
              <w:adjustRightInd w:val="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企业经营年限</w:t>
            </w:r>
            <w:r>
              <w:rPr>
                <w:rFonts w:ascii="仿宋" w:hAnsi="仿宋" w:eastAsia="仿宋" w:cs="Times New Roman"/>
                <w:color w:val="000000"/>
                <w:kern w:val="0"/>
                <w:sz w:val="24"/>
                <w:szCs w:val="24"/>
              </w:rPr>
              <w:t>5</w:t>
            </w:r>
            <w:r>
              <w:rPr>
                <w:rFonts w:hint="eastAsia" w:ascii="仿宋" w:hAnsi="仿宋" w:eastAsia="仿宋" w:cs="宋体"/>
                <w:color w:val="000000"/>
                <w:kern w:val="0"/>
                <w:sz w:val="24"/>
                <w:szCs w:val="24"/>
              </w:rPr>
              <w:t>年及以上得</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分；</w:t>
            </w:r>
            <w:r>
              <w:rPr>
                <w:rFonts w:ascii="仿宋" w:hAnsi="仿宋" w:eastAsia="仿宋" w:cs="Times New Roman"/>
                <w:color w:val="000000"/>
                <w:kern w:val="0"/>
                <w:sz w:val="24"/>
                <w:szCs w:val="24"/>
              </w:rPr>
              <w:t>3--5</w:t>
            </w:r>
            <w:r>
              <w:rPr>
                <w:rFonts w:hint="eastAsia" w:ascii="仿宋" w:hAnsi="仿宋" w:eastAsia="仿宋" w:cs="宋体"/>
                <w:color w:val="000000"/>
                <w:kern w:val="0"/>
                <w:sz w:val="24"/>
                <w:szCs w:val="24"/>
              </w:rPr>
              <w:t>年（包括</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年）得</w:t>
            </w:r>
            <w:r>
              <w:rPr>
                <w:rFonts w:ascii="仿宋" w:hAnsi="仿宋" w:eastAsia="仿宋" w:cs="Times New Roman"/>
                <w:color w:val="000000"/>
                <w:kern w:val="0"/>
                <w:sz w:val="24"/>
                <w:szCs w:val="24"/>
              </w:rPr>
              <w:t>0.5</w:t>
            </w:r>
            <w:r>
              <w:rPr>
                <w:rFonts w:hint="eastAsia" w:ascii="仿宋" w:hAnsi="仿宋" w:eastAsia="仿宋" w:cs="宋体"/>
                <w:color w:val="000000"/>
                <w:kern w:val="0"/>
                <w:sz w:val="24"/>
                <w:szCs w:val="24"/>
              </w:rPr>
              <w:t>分，</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年以下不得分。</w:t>
            </w:r>
          </w:p>
          <w:p>
            <w:pPr>
              <w:autoSpaceDE w:val="0"/>
              <w:autoSpaceDN w:val="0"/>
              <w:adjustRightInd w:val="0"/>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33"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开发能力</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17</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1.2.1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w:t>
            </w:r>
          </w:p>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开发</w:t>
            </w:r>
            <w:r>
              <w:rPr>
                <w:rFonts w:hint="eastAsia" w:ascii="仿宋" w:hAnsi="仿宋" w:eastAsia="仿宋" w:cs="宋体"/>
                <w:color w:val="000000"/>
                <w:kern w:val="0"/>
                <w:sz w:val="24"/>
                <w:szCs w:val="24"/>
                <w:lang w:eastAsia="zh-CN"/>
              </w:rPr>
              <w:t>项目个数</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依据企业资质等级评价企业近三年的开发能力。</w:t>
            </w:r>
          </w:p>
        </w:tc>
        <w:tc>
          <w:tcPr>
            <w:tcW w:w="5608" w:type="dxa"/>
            <w:vAlign w:val="center"/>
          </w:tcPr>
          <w:p>
            <w:pPr>
              <w:autoSpaceDE w:val="0"/>
              <w:autoSpaceDN w:val="0"/>
              <w:adjustRightInd w:val="0"/>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开发</w:t>
            </w:r>
            <w:r>
              <w:rPr>
                <w:rFonts w:hint="eastAsia" w:ascii="仿宋" w:hAnsi="仿宋" w:eastAsia="仿宋" w:cs="宋体"/>
                <w:color w:val="000000"/>
                <w:kern w:val="0"/>
                <w:sz w:val="24"/>
                <w:szCs w:val="24"/>
                <w:lang w:val="en-US" w:eastAsia="zh-CN"/>
              </w:rPr>
              <w:t>1个项目得2分；2个项目得3分；2个项目以上得5分；没有项目不得分。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39"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b w:val="0"/>
                <w:bCs w:val="0"/>
                <w:color w:val="000000"/>
                <w:kern w:val="0"/>
                <w:sz w:val="24"/>
                <w:szCs w:val="24"/>
              </w:rPr>
            </w:pPr>
            <w:r>
              <w:rPr>
                <w:rFonts w:ascii="仿宋" w:hAnsi="仿宋" w:eastAsia="仿宋" w:cs="宋体"/>
                <w:b w:val="0"/>
                <w:bCs w:val="0"/>
                <w:color w:val="000000"/>
                <w:kern w:val="0"/>
                <w:sz w:val="24"/>
                <w:szCs w:val="24"/>
              </w:rPr>
              <w:t>1.2.2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b w:val="0"/>
                <w:bCs w:val="0"/>
                <w:color w:val="000000"/>
                <w:kern w:val="0"/>
                <w:sz w:val="24"/>
                <w:szCs w:val="24"/>
                <w:lang w:eastAsia="zh-CN"/>
              </w:rPr>
              <w:t>近三年竣工</w:t>
            </w:r>
            <w:r>
              <w:rPr>
                <w:rFonts w:hint="eastAsia" w:ascii="仿宋" w:hAnsi="仿宋" w:eastAsia="仿宋" w:cs="宋体"/>
                <w:b w:val="0"/>
                <w:bCs w:val="0"/>
                <w:color w:val="000000"/>
                <w:kern w:val="0"/>
                <w:sz w:val="24"/>
                <w:szCs w:val="24"/>
              </w:rPr>
              <w:t>面积</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依据企业资质等级</w:t>
            </w:r>
            <w:r>
              <w:rPr>
                <w:rFonts w:hint="eastAsia" w:ascii="仿宋" w:hAnsi="仿宋" w:eastAsia="仿宋" w:cs="宋体"/>
                <w:color w:val="000000"/>
                <w:kern w:val="0"/>
                <w:sz w:val="24"/>
                <w:szCs w:val="24"/>
                <w:lang w:eastAsia="zh-CN"/>
              </w:rPr>
              <w:t>要求开发竣工面积</w:t>
            </w:r>
          </w:p>
        </w:tc>
        <w:tc>
          <w:tcPr>
            <w:tcW w:w="5608" w:type="dxa"/>
            <w:vAlign w:val="center"/>
          </w:tcPr>
          <w:p>
            <w:pPr>
              <w:autoSpaceDE w:val="0"/>
              <w:autoSpaceDN w:val="0"/>
              <w:adjustRightInd w:val="0"/>
              <w:rPr>
                <w:rFonts w:hint="eastAsia" w:ascii="仿宋" w:hAnsi="仿宋" w:eastAsia="仿宋" w:cs="宋体"/>
                <w:color w:val="000000"/>
                <w:kern w:val="0"/>
                <w:sz w:val="24"/>
                <w:szCs w:val="24"/>
                <w:lang w:val="en-US" w:eastAsia="zh-CN"/>
              </w:rPr>
            </w:pPr>
          </w:p>
          <w:p>
            <w:pPr>
              <w:autoSpaceDE w:val="0"/>
              <w:autoSpaceDN w:val="0"/>
              <w:adjustRightInd w:val="0"/>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近三年竣工面积达到</w:t>
            </w:r>
            <w:r>
              <w:rPr>
                <w:rFonts w:hint="eastAsia" w:ascii="仿宋" w:hAnsi="仿宋" w:eastAsia="仿宋" w:cs="宋体"/>
                <w:color w:val="000000"/>
                <w:kern w:val="0"/>
                <w:sz w:val="24"/>
                <w:szCs w:val="24"/>
                <w:lang w:val="en-US" w:eastAsia="zh-CN"/>
              </w:rPr>
              <w:t>10万</w:t>
            </w:r>
            <w:r>
              <w:rPr>
                <w:rFonts w:hint="eastAsia" w:ascii="宋体" w:hAnsi="宋体" w:eastAsia="宋体" w:cs="宋体"/>
                <w:color w:val="000000"/>
                <w:kern w:val="0"/>
                <w:sz w:val="24"/>
                <w:szCs w:val="24"/>
                <w:lang w:val="en-US" w:eastAsia="zh-CN"/>
              </w:rPr>
              <w:t>㎡及以下得2分</w:t>
            </w:r>
            <w:r>
              <w:rPr>
                <w:rFonts w:hint="eastAsia" w:ascii="仿宋" w:hAnsi="仿宋" w:eastAsia="仿宋" w:cs="宋体"/>
                <w:color w:val="000000"/>
                <w:kern w:val="0"/>
                <w:sz w:val="24"/>
                <w:szCs w:val="24"/>
                <w:lang w:val="en-US" w:eastAsia="zh-CN"/>
              </w:rPr>
              <w:t>，10万</w:t>
            </w:r>
            <w:r>
              <w:rPr>
                <w:rFonts w:hint="eastAsia" w:ascii="宋体" w:hAnsi="宋体" w:eastAsia="宋体" w:cs="宋体"/>
                <w:color w:val="000000"/>
                <w:kern w:val="0"/>
                <w:sz w:val="24"/>
                <w:szCs w:val="24"/>
                <w:lang w:val="en-US" w:eastAsia="zh-CN"/>
              </w:rPr>
              <w:t>－</w:t>
            </w:r>
            <w:r>
              <w:rPr>
                <w:rFonts w:hint="eastAsia" w:ascii="仿宋" w:hAnsi="仿宋" w:eastAsia="仿宋" w:cs="宋体"/>
                <w:color w:val="000000"/>
                <w:kern w:val="0"/>
                <w:sz w:val="24"/>
                <w:szCs w:val="24"/>
                <w:lang w:val="en-US" w:eastAsia="zh-CN"/>
              </w:rPr>
              <w:t>20万</w:t>
            </w:r>
            <w:r>
              <w:rPr>
                <w:rFonts w:hint="eastAsia" w:ascii="宋体" w:hAnsi="宋体" w:eastAsia="宋体" w:cs="宋体"/>
                <w:color w:val="000000"/>
                <w:kern w:val="0"/>
                <w:sz w:val="24"/>
                <w:szCs w:val="24"/>
                <w:lang w:val="en-US" w:eastAsia="zh-CN"/>
              </w:rPr>
              <w:t>㎡（含20</w:t>
            </w:r>
            <w:r>
              <w:rPr>
                <w:rFonts w:hint="eastAsia" w:ascii="仿宋" w:hAnsi="仿宋" w:eastAsia="仿宋" w:cs="宋体"/>
                <w:color w:val="000000"/>
                <w:kern w:val="0"/>
                <w:sz w:val="24"/>
                <w:szCs w:val="24"/>
                <w:lang w:val="en-US" w:eastAsia="zh-CN"/>
              </w:rPr>
              <w:t>万</w:t>
            </w:r>
            <w:r>
              <w:rPr>
                <w:rFonts w:hint="eastAsia" w:ascii="宋体" w:hAnsi="宋体" w:eastAsia="宋体" w:cs="宋体"/>
                <w:color w:val="000000"/>
                <w:kern w:val="0"/>
                <w:sz w:val="24"/>
                <w:szCs w:val="24"/>
                <w:lang w:val="en-US" w:eastAsia="zh-CN"/>
              </w:rPr>
              <w:t>㎡）得4分；20万㎡以上得6分；</w:t>
            </w:r>
            <w:r>
              <w:rPr>
                <w:rFonts w:hint="eastAsia" w:ascii="仿宋" w:hAnsi="仿宋" w:eastAsia="仿宋" w:cs="宋体"/>
                <w:color w:val="000000"/>
                <w:kern w:val="0"/>
                <w:sz w:val="24"/>
                <w:szCs w:val="24"/>
                <w:lang w:val="en-US" w:eastAsia="zh-CN"/>
              </w:rPr>
              <w:t>无竣工项目的不得分。</w:t>
            </w:r>
          </w:p>
          <w:p>
            <w:pPr>
              <w:autoSpaceDE w:val="0"/>
              <w:autoSpaceDN w:val="0"/>
              <w:adjustRightInd w:val="0"/>
              <w:rPr>
                <w:rFonts w:hint="default"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31"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hint="eastAsia" w:ascii="仿宋" w:hAnsi="仿宋" w:eastAsia="仿宋" w:cs="宋体"/>
                <w:b w:val="0"/>
                <w:bCs w:val="0"/>
                <w:color w:val="000000"/>
                <w:kern w:val="0"/>
                <w:sz w:val="24"/>
                <w:szCs w:val="24"/>
                <w:lang w:val="en-US" w:eastAsia="zh-CN"/>
              </w:rPr>
            </w:pPr>
            <w:r>
              <w:rPr>
                <w:rFonts w:hint="eastAsia" w:ascii="仿宋" w:hAnsi="仿宋" w:eastAsia="仿宋" w:cs="宋体"/>
                <w:b w:val="0"/>
                <w:bCs w:val="0"/>
                <w:color w:val="000000"/>
                <w:kern w:val="0"/>
                <w:sz w:val="24"/>
                <w:szCs w:val="24"/>
                <w:lang w:val="en-US" w:eastAsia="zh-CN"/>
              </w:rPr>
              <w:t>1.2.3</w:t>
            </w:r>
          </w:p>
          <w:p>
            <w:pPr>
              <w:autoSpaceDE w:val="0"/>
              <w:autoSpaceDN w:val="0"/>
              <w:adjustRightInd w:val="0"/>
              <w:jc w:val="center"/>
              <w:rPr>
                <w:rFonts w:hint="default" w:ascii="仿宋" w:hAnsi="仿宋" w:eastAsia="仿宋" w:cs="宋体"/>
                <w:b w:val="0"/>
                <w:bCs w:val="0"/>
                <w:color w:val="000000"/>
                <w:kern w:val="0"/>
                <w:sz w:val="24"/>
                <w:szCs w:val="24"/>
                <w:lang w:val="en-US" w:eastAsia="zh-CN"/>
              </w:rPr>
            </w:pPr>
            <w:r>
              <w:rPr>
                <w:rFonts w:hint="eastAsia" w:ascii="仿宋" w:hAnsi="仿宋" w:eastAsia="仿宋" w:cs="宋体"/>
                <w:b w:val="0"/>
                <w:bCs w:val="0"/>
                <w:color w:val="000000"/>
                <w:kern w:val="0"/>
                <w:sz w:val="24"/>
                <w:szCs w:val="24"/>
                <w:lang w:val="en-US" w:eastAsia="zh-CN"/>
              </w:rPr>
              <w:t>近三年开工面积</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6分</w:t>
            </w:r>
          </w:p>
        </w:tc>
        <w:tc>
          <w:tcPr>
            <w:tcW w:w="4336" w:type="dxa"/>
            <w:vAlign w:val="center"/>
          </w:tcPr>
          <w:p>
            <w:pPr>
              <w:autoSpaceDE w:val="0"/>
              <w:autoSpaceDN w:val="0"/>
              <w:adjustRightInd w:val="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依据企业资质等级</w:t>
            </w:r>
            <w:r>
              <w:rPr>
                <w:rFonts w:hint="eastAsia" w:ascii="仿宋" w:hAnsi="仿宋" w:eastAsia="仿宋" w:cs="宋体"/>
                <w:color w:val="000000"/>
                <w:kern w:val="0"/>
                <w:sz w:val="24"/>
                <w:szCs w:val="24"/>
                <w:lang w:eastAsia="zh-CN"/>
              </w:rPr>
              <w:t>要求新开工面积</w:t>
            </w:r>
          </w:p>
        </w:tc>
        <w:tc>
          <w:tcPr>
            <w:tcW w:w="5608" w:type="dxa"/>
            <w:vAlign w:val="center"/>
          </w:tcPr>
          <w:p>
            <w:pPr>
              <w:autoSpaceDE w:val="0"/>
              <w:autoSpaceDN w:val="0"/>
              <w:adjustRightInd w:val="0"/>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近三年新开工面积</w:t>
            </w:r>
            <w:r>
              <w:rPr>
                <w:rFonts w:hint="eastAsia" w:ascii="仿宋" w:hAnsi="仿宋" w:eastAsia="仿宋" w:cs="宋体"/>
                <w:color w:val="000000"/>
                <w:kern w:val="0"/>
                <w:sz w:val="24"/>
                <w:szCs w:val="24"/>
                <w:lang w:eastAsia="zh-CN"/>
              </w:rPr>
              <w:t>达到</w:t>
            </w:r>
            <w:r>
              <w:rPr>
                <w:rFonts w:hint="eastAsia" w:ascii="仿宋" w:hAnsi="仿宋" w:eastAsia="仿宋" w:cs="宋体"/>
                <w:color w:val="000000"/>
                <w:kern w:val="0"/>
                <w:sz w:val="24"/>
                <w:szCs w:val="24"/>
                <w:lang w:val="en-US" w:eastAsia="zh-CN"/>
              </w:rPr>
              <w:t>10万</w:t>
            </w:r>
            <w:r>
              <w:rPr>
                <w:rFonts w:hint="eastAsia" w:ascii="宋体" w:hAnsi="宋体" w:eastAsia="宋体" w:cs="宋体"/>
                <w:color w:val="000000"/>
                <w:kern w:val="0"/>
                <w:sz w:val="24"/>
                <w:szCs w:val="24"/>
                <w:lang w:val="en-US" w:eastAsia="zh-CN"/>
              </w:rPr>
              <w:t>㎡及以下得2分</w:t>
            </w:r>
            <w:r>
              <w:rPr>
                <w:rFonts w:hint="eastAsia" w:ascii="仿宋" w:hAnsi="仿宋" w:eastAsia="仿宋" w:cs="宋体"/>
                <w:color w:val="000000"/>
                <w:kern w:val="0"/>
                <w:sz w:val="24"/>
                <w:szCs w:val="24"/>
                <w:lang w:val="en-US" w:eastAsia="zh-CN"/>
              </w:rPr>
              <w:t>，10万</w:t>
            </w:r>
            <w:r>
              <w:rPr>
                <w:rFonts w:hint="eastAsia" w:ascii="宋体" w:hAnsi="宋体" w:eastAsia="宋体" w:cs="宋体"/>
                <w:color w:val="000000"/>
                <w:kern w:val="0"/>
                <w:sz w:val="24"/>
                <w:szCs w:val="24"/>
                <w:lang w:val="en-US" w:eastAsia="zh-CN"/>
              </w:rPr>
              <w:t>－</w:t>
            </w:r>
            <w:r>
              <w:rPr>
                <w:rFonts w:hint="eastAsia" w:ascii="仿宋" w:hAnsi="仿宋" w:eastAsia="仿宋" w:cs="宋体"/>
                <w:color w:val="000000"/>
                <w:kern w:val="0"/>
                <w:sz w:val="24"/>
                <w:szCs w:val="24"/>
                <w:lang w:val="en-US" w:eastAsia="zh-CN"/>
              </w:rPr>
              <w:t>20万</w:t>
            </w:r>
            <w:r>
              <w:rPr>
                <w:rFonts w:hint="eastAsia" w:ascii="宋体" w:hAnsi="宋体" w:eastAsia="宋体" w:cs="宋体"/>
                <w:color w:val="000000"/>
                <w:kern w:val="0"/>
                <w:sz w:val="24"/>
                <w:szCs w:val="24"/>
                <w:lang w:val="en-US" w:eastAsia="zh-CN"/>
              </w:rPr>
              <w:t>㎡（含20</w:t>
            </w:r>
            <w:r>
              <w:rPr>
                <w:rFonts w:hint="eastAsia" w:ascii="仿宋" w:hAnsi="仿宋" w:eastAsia="仿宋" w:cs="宋体"/>
                <w:color w:val="000000"/>
                <w:kern w:val="0"/>
                <w:sz w:val="24"/>
                <w:szCs w:val="24"/>
                <w:lang w:val="en-US" w:eastAsia="zh-CN"/>
              </w:rPr>
              <w:t>万</w:t>
            </w:r>
            <w:r>
              <w:rPr>
                <w:rFonts w:hint="eastAsia" w:ascii="宋体" w:hAnsi="宋体" w:eastAsia="宋体" w:cs="宋体"/>
                <w:color w:val="000000"/>
                <w:kern w:val="0"/>
                <w:sz w:val="24"/>
                <w:szCs w:val="24"/>
                <w:lang w:val="en-US" w:eastAsia="zh-CN"/>
              </w:rPr>
              <w:t>㎡）得4分；20万㎡以上得6分；</w:t>
            </w:r>
            <w:r>
              <w:rPr>
                <w:rFonts w:hint="eastAsia" w:ascii="仿宋" w:hAnsi="仿宋" w:eastAsia="仿宋" w:cs="宋体"/>
                <w:color w:val="000000"/>
                <w:kern w:val="0"/>
                <w:sz w:val="24"/>
                <w:szCs w:val="24"/>
                <w:lang w:val="en-US" w:eastAsia="zh-CN"/>
              </w:rPr>
              <w:t>无新开工面积项目的不得分。</w:t>
            </w:r>
          </w:p>
          <w:p>
            <w:pPr>
              <w:autoSpaceDE w:val="0"/>
              <w:autoSpaceDN w:val="0"/>
              <w:adjustRightInd w:val="0"/>
              <w:rPr>
                <w:rFonts w:hint="default" w:ascii="仿宋" w:hAnsi="仿宋" w:eastAsia="仿宋"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511"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人员素质</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1.3.1</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管理层</w:t>
            </w:r>
            <w:r>
              <w:rPr>
                <w:rFonts w:hint="eastAsia" w:ascii="仿宋" w:hAnsi="仿宋" w:eastAsia="仿宋" w:cs="宋体"/>
                <w:color w:val="000000"/>
                <w:kern w:val="0"/>
                <w:sz w:val="24"/>
                <w:szCs w:val="24"/>
                <w:lang w:eastAsia="zh-CN"/>
              </w:rPr>
              <w:t>人员</w:t>
            </w:r>
            <w:r>
              <w:rPr>
                <w:rFonts w:hint="eastAsia" w:ascii="仿宋" w:hAnsi="仿宋" w:eastAsia="仿宋" w:cs="宋体"/>
                <w:color w:val="000000"/>
                <w:kern w:val="0"/>
                <w:sz w:val="24"/>
                <w:szCs w:val="24"/>
              </w:rPr>
              <w:t>素质</w:t>
            </w: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根据企业的资质等级，评价企业管理层管理经验</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技术人员专业结构配置是否合理。</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持有资格证书的专业人员符合本级资质规定人员数量和要求的，得</w:t>
            </w:r>
            <w:r>
              <w:rPr>
                <w:rFonts w:hint="eastAsia" w:ascii="仿宋" w:hAnsi="仿宋" w:eastAsia="仿宋" w:cs="Times New Roman"/>
                <w:color w:val="000000"/>
                <w:kern w:val="0"/>
                <w:sz w:val="24"/>
                <w:szCs w:val="24"/>
                <w:lang w:val="en-US" w:eastAsia="zh-CN"/>
              </w:rPr>
              <w:t>5</w:t>
            </w:r>
            <w:r>
              <w:rPr>
                <w:rFonts w:hint="eastAsia" w:ascii="仿宋" w:hAnsi="仿宋" w:eastAsia="仿宋" w:cs="宋体"/>
                <w:color w:val="000000"/>
                <w:kern w:val="0"/>
                <w:sz w:val="24"/>
                <w:szCs w:val="24"/>
              </w:rPr>
              <w:t>分，不符合的不得分。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490"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b w:val="0"/>
                <w:bCs w:val="0"/>
                <w:color w:val="000000"/>
                <w:kern w:val="0"/>
                <w:sz w:val="24"/>
                <w:szCs w:val="24"/>
              </w:rPr>
            </w:pPr>
            <w:r>
              <w:rPr>
                <w:rFonts w:ascii="仿宋" w:hAnsi="仿宋" w:eastAsia="仿宋" w:cs="宋体"/>
                <w:b w:val="0"/>
                <w:bCs w:val="0"/>
                <w:color w:val="000000"/>
                <w:kern w:val="0"/>
                <w:sz w:val="24"/>
                <w:szCs w:val="24"/>
              </w:rPr>
              <w:t>1.4</w:t>
            </w:r>
          </w:p>
          <w:p>
            <w:pPr>
              <w:autoSpaceDE w:val="0"/>
              <w:autoSpaceDN w:val="0"/>
              <w:adjustRightInd w:val="0"/>
              <w:jc w:val="center"/>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公司管理</w:t>
            </w:r>
          </w:p>
          <w:p>
            <w:pPr>
              <w:autoSpaceDE w:val="0"/>
              <w:autoSpaceDN w:val="0"/>
              <w:adjustRightInd w:val="0"/>
              <w:jc w:val="center"/>
              <w:rPr>
                <w:rFonts w:ascii="仿宋" w:hAnsi="仿宋" w:eastAsia="仿宋" w:cs="宋体"/>
                <w:b w:val="0"/>
                <w:bCs w:val="0"/>
                <w:color w:val="000000"/>
                <w:kern w:val="0"/>
                <w:sz w:val="24"/>
                <w:szCs w:val="24"/>
              </w:rPr>
            </w:pPr>
            <w:r>
              <w:rPr>
                <w:rFonts w:hint="eastAsia" w:ascii="仿宋" w:hAnsi="仿宋" w:eastAsia="仿宋" w:cs="宋体"/>
                <w:b w:val="0"/>
                <w:bCs w:val="0"/>
                <w:color w:val="000000"/>
                <w:kern w:val="0"/>
                <w:sz w:val="24"/>
                <w:szCs w:val="24"/>
              </w:rPr>
              <w:t>与治理</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b w:val="0"/>
                <w:bCs w:val="0"/>
                <w:color w:val="000000"/>
                <w:kern w:val="0"/>
                <w:sz w:val="24"/>
                <w:szCs w:val="24"/>
              </w:rPr>
              <w:t>（</w:t>
            </w:r>
            <w:r>
              <w:rPr>
                <w:rFonts w:ascii="仿宋" w:hAnsi="仿宋" w:eastAsia="仿宋" w:cs="宋体"/>
                <w:b w:val="0"/>
                <w:bCs w:val="0"/>
                <w:color w:val="000000"/>
                <w:kern w:val="0"/>
                <w:sz w:val="24"/>
                <w:szCs w:val="24"/>
              </w:rPr>
              <w:t>3</w:t>
            </w:r>
            <w:r>
              <w:rPr>
                <w:rFonts w:hint="eastAsia" w:ascii="仿宋" w:hAnsi="仿宋" w:eastAsia="仿宋" w:cs="宋体"/>
                <w:b w:val="0"/>
                <w:bCs w:val="0"/>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评价企业在公司管理与治理方面的职能是否明确。</w:t>
            </w:r>
          </w:p>
        </w:tc>
        <w:tc>
          <w:tcPr>
            <w:tcW w:w="5608" w:type="dxa"/>
            <w:vAlign w:val="center"/>
          </w:tcPr>
          <w:p>
            <w:pPr>
              <w:autoSpaceDE w:val="0"/>
              <w:autoSpaceDN w:val="0"/>
              <w:adjustRightInd w:val="0"/>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企业在考核、奖惩、</w:t>
            </w:r>
            <w:r>
              <w:rPr>
                <w:rFonts w:hint="eastAsia" w:ascii="仿宋" w:hAnsi="仿宋" w:eastAsia="仿宋" w:cs="宋体"/>
                <w:color w:val="000000"/>
                <w:kern w:val="0"/>
                <w:sz w:val="24"/>
                <w:szCs w:val="24"/>
                <w:lang w:eastAsia="zh-CN"/>
              </w:rPr>
              <w:t>财务管理</w:t>
            </w:r>
            <w:r>
              <w:rPr>
                <w:rFonts w:hint="eastAsia" w:ascii="仿宋" w:hAnsi="仿宋" w:eastAsia="仿宋" w:cs="宋体"/>
                <w:color w:val="000000"/>
                <w:kern w:val="0"/>
                <w:sz w:val="24"/>
                <w:szCs w:val="24"/>
              </w:rPr>
              <w:t>、人事任免方面各项制度健全，得</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缺一项扣</w:t>
            </w:r>
            <w:r>
              <w:rPr>
                <w:rFonts w:hint="eastAsia" w:ascii="仿宋" w:hAnsi="仿宋" w:eastAsia="仿宋" w:cs="宋体"/>
                <w:color w:val="000000"/>
                <w:kern w:val="0"/>
                <w:sz w:val="24"/>
                <w:szCs w:val="24"/>
                <w:lang w:val="en-US" w:eastAsia="zh-CN"/>
              </w:rPr>
              <w:t>0.5份。</w:t>
            </w:r>
          </w:p>
          <w:p>
            <w:pPr>
              <w:autoSpaceDE w:val="0"/>
              <w:autoSpaceDN w:val="0"/>
              <w:adjustRightInd w:val="0"/>
              <w:jc w:val="left"/>
              <w:rPr>
                <w:rFonts w:hint="eastAsia" w:ascii="仿宋" w:hAnsi="仿宋" w:eastAsia="仿宋" w:cs="宋体"/>
                <w:color w:val="000000"/>
                <w:kern w:val="0"/>
                <w:sz w:val="24"/>
                <w:szCs w:val="24"/>
                <w:lang w:val="en-US" w:eastAsia="zh-CN"/>
              </w:rPr>
            </w:pPr>
          </w:p>
          <w:p>
            <w:pPr>
              <w:autoSpaceDE w:val="0"/>
              <w:autoSpaceDN w:val="0"/>
              <w:adjustRightInd w:val="0"/>
              <w:jc w:val="left"/>
              <w:rPr>
                <w:rFonts w:hint="eastAsia" w:ascii="仿宋" w:hAnsi="仿宋" w:eastAsia="仿宋" w:cs="宋体"/>
                <w:color w:val="000000"/>
                <w:kern w:val="0"/>
                <w:sz w:val="24"/>
                <w:szCs w:val="24"/>
                <w:lang w:val="en-US" w:eastAsia="zh-CN"/>
              </w:rPr>
            </w:pPr>
          </w:p>
          <w:p>
            <w:pPr>
              <w:autoSpaceDE w:val="0"/>
              <w:autoSpaceDN w:val="0"/>
              <w:adjustRightInd w:val="0"/>
              <w:jc w:val="left"/>
              <w:rPr>
                <w:rFonts w:hint="default" w:ascii="仿宋" w:hAnsi="仿宋" w:eastAsia="仿宋" w:cs="宋体"/>
                <w:color w:val="000000"/>
                <w:kern w:val="0"/>
                <w:sz w:val="24"/>
                <w:szCs w:val="24"/>
                <w:lang w:val="en-US" w:eastAsia="zh-CN"/>
              </w:rPr>
            </w:pPr>
          </w:p>
          <w:p>
            <w:pPr>
              <w:autoSpaceDE w:val="0"/>
              <w:autoSpaceDN w:val="0"/>
              <w:adjustRightInd w:val="0"/>
              <w:jc w:val="left"/>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vAlign w:val="center"/>
          </w:tcPr>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财务信用</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能力</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偿债能力</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通过评价偿债能力，反映企业持续经营的能力和风险。长期偿债能力考察产权比率；短期偿债能力考察现金流动负债</w:t>
            </w:r>
            <w:r>
              <w:rPr>
                <w:rFonts w:hint="eastAsia" w:ascii="仿宋" w:hAnsi="仿宋" w:eastAsia="仿宋" w:cs="宋体"/>
                <w:color w:val="000000"/>
                <w:kern w:val="0"/>
                <w:sz w:val="24"/>
                <w:szCs w:val="24"/>
                <w:lang w:eastAsia="zh-CN"/>
              </w:rPr>
              <w:t>比率</w:t>
            </w:r>
            <w:r>
              <w:rPr>
                <w:rFonts w:hint="eastAsia" w:ascii="仿宋" w:hAnsi="仿宋" w:eastAsia="仿宋" w:cs="宋体"/>
                <w:color w:val="000000"/>
                <w:kern w:val="0"/>
                <w:sz w:val="24"/>
                <w:szCs w:val="24"/>
              </w:rPr>
              <w:t>和流动比率。</w:t>
            </w:r>
          </w:p>
        </w:tc>
        <w:tc>
          <w:tcPr>
            <w:tcW w:w="5608"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根据国资委和当地有关部门发部</w:t>
            </w:r>
            <w:r>
              <w:rPr>
                <w:rFonts w:hint="eastAsia" w:ascii="仿宋" w:hAnsi="仿宋" w:eastAsia="仿宋" w:cs="宋体"/>
                <w:color w:val="000000"/>
                <w:kern w:val="0"/>
                <w:sz w:val="24"/>
                <w:szCs w:val="24"/>
              </w:rPr>
              <w:t>房地产全行业财务水平，</w:t>
            </w:r>
            <w:r>
              <w:rPr>
                <w:rFonts w:hint="eastAsia" w:ascii="仿宋" w:hAnsi="仿宋" w:eastAsia="仿宋" w:cs="宋体"/>
                <w:color w:val="000000"/>
                <w:kern w:val="0"/>
                <w:sz w:val="24"/>
                <w:szCs w:val="24"/>
                <w:lang w:eastAsia="zh-CN"/>
              </w:rPr>
              <w:t>高于全行业财务水平</w:t>
            </w:r>
            <w:r>
              <w:rPr>
                <w:rFonts w:hint="eastAsia" w:ascii="仿宋" w:hAnsi="仿宋" w:eastAsia="仿宋" w:cs="宋体"/>
                <w:color w:val="000000"/>
                <w:kern w:val="0"/>
                <w:sz w:val="24"/>
                <w:szCs w:val="24"/>
              </w:rPr>
              <w:t>存货周转率和应收账款周转率得</w:t>
            </w:r>
            <w:r>
              <w:rPr>
                <w:rFonts w:hint="eastAsia" w:ascii="仿宋" w:hAnsi="仿宋" w:eastAsia="仿宋" w:cs="Times New Roman"/>
                <w:color w:val="000000"/>
                <w:kern w:val="0"/>
                <w:sz w:val="24"/>
                <w:szCs w:val="24"/>
                <w:lang w:val="en-US" w:eastAsia="zh-CN"/>
              </w:rPr>
              <w:t>3</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等于</w:t>
            </w:r>
            <w:r>
              <w:rPr>
                <w:rFonts w:hint="eastAsia" w:ascii="仿宋" w:hAnsi="仿宋" w:eastAsia="仿宋" w:cs="宋体"/>
                <w:color w:val="000000"/>
                <w:kern w:val="0"/>
                <w:sz w:val="24"/>
                <w:szCs w:val="24"/>
              </w:rPr>
              <w:t>得</w:t>
            </w:r>
            <w:r>
              <w:rPr>
                <w:rFonts w:hint="eastAsia" w:ascii="仿宋" w:hAnsi="仿宋" w:eastAsia="仿宋" w:cs="Times New Roman"/>
                <w:color w:val="000000"/>
                <w:kern w:val="0"/>
                <w:sz w:val="24"/>
                <w:szCs w:val="24"/>
                <w:lang w:val="en-US" w:eastAsia="zh-CN"/>
              </w:rPr>
              <w:t>2</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低于不得分</w:t>
            </w:r>
            <w:r>
              <w:rPr>
                <w:rFonts w:hint="eastAsia" w:ascii="仿宋" w:hAnsi="仿宋" w:eastAsia="仿宋" w:cs="宋体"/>
                <w:color w:val="000000"/>
                <w:kern w:val="0"/>
                <w:sz w:val="24"/>
                <w:szCs w:val="24"/>
              </w:rPr>
              <w:t>。其中,产权比率</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负债</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所有者权益,速动比率</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速动资产</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流动负债,现金流动负债比</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经营活动现金流量</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运营能力</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通过评价运营能力，反映企业持续经营、良性发展的能力。主要考察应收账款周转率和存货周转率。</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根据国资委和当地有关部门发部</w:t>
            </w:r>
            <w:r>
              <w:rPr>
                <w:rFonts w:hint="eastAsia" w:ascii="仿宋" w:hAnsi="仿宋" w:eastAsia="仿宋" w:cs="宋体"/>
                <w:color w:val="000000"/>
                <w:kern w:val="0"/>
                <w:sz w:val="24"/>
                <w:szCs w:val="24"/>
              </w:rPr>
              <w:t>房地产全行业财务水平，</w:t>
            </w:r>
            <w:r>
              <w:rPr>
                <w:rFonts w:hint="eastAsia" w:ascii="仿宋" w:hAnsi="仿宋" w:eastAsia="仿宋" w:cs="宋体"/>
                <w:color w:val="000000"/>
                <w:kern w:val="0"/>
                <w:sz w:val="24"/>
                <w:szCs w:val="24"/>
                <w:lang w:eastAsia="zh-CN"/>
              </w:rPr>
              <w:t>高于财务水平</w:t>
            </w:r>
            <w:r>
              <w:rPr>
                <w:rFonts w:hint="eastAsia" w:ascii="仿宋" w:hAnsi="仿宋" w:eastAsia="仿宋" w:cs="宋体"/>
                <w:color w:val="000000"/>
                <w:kern w:val="0"/>
                <w:sz w:val="24"/>
                <w:szCs w:val="24"/>
              </w:rPr>
              <w:t>存货周转率和应收账款周转率</w:t>
            </w:r>
            <w:r>
              <w:rPr>
                <w:rFonts w:hint="eastAsia" w:ascii="仿宋" w:hAnsi="仿宋" w:eastAsia="仿宋" w:cs="宋体"/>
                <w:color w:val="000000"/>
                <w:kern w:val="0"/>
                <w:sz w:val="24"/>
                <w:szCs w:val="24"/>
                <w:lang w:eastAsia="zh-CN"/>
              </w:rPr>
              <w:t>得</w:t>
            </w:r>
            <w:r>
              <w:rPr>
                <w:rFonts w:hint="eastAsia" w:ascii="仿宋" w:hAnsi="仿宋" w:eastAsia="仿宋" w:cs="Times New Roman"/>
                <w:color w:val="000000"/>
                <w:kern w:val="0"/>
                <w:sz w:val="24"/>
                <w:szCs w:val="24"/>
                <w:lang w:val="en-US" w:eastAsia="zh-CN"/>
              </w:rPr>
              <w:t>2</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等于</w:t>
            </w:r>
            <w:r>
              <w:rPr>
                <w:rFonts w:hint="eastAsia" w:ascii="仿宋" w:hAnsi="仿宋" w:eastAsia="仿宋" w:cs="宋体"/>
                <w:color w:val="000000"/>
                <w:kern w:val="0"/>
                <w:sz w:val="24"/>
                <w:szCs w:val="24"/>
              </w:rPr>
              <w:t>得</w:t>
            </w:r>
            <w:r>
              <w:rPr>
                <w:rFonts w:hint="eastAsia" w:ascii="仿宋" w:hAnsi="仿宋" w:eastAsia="仿宋" w:cs="Times New Roman"/>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低于不得分</w:t>
            </w:r>
            <w:r>
              <w:rPr>
                <w:rFonts w:hint="eastAsia" w:ascii="仿宋" w:hAnsi="仿宋" w:eastAsia="仿宋" w:cs="宋体"/>
                <w:color w:val="000000"/>
                <w:kern w:val="0"/>
                <w:sz w:val="24"/>
                <w:szCs w:val="24"/>
              </w:rPr>
              <w:t>。存货周转率</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销售收入</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平均存货余额，应收账款周转率</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销售收入</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平均应收账款（加权平均）。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发展能力</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通过评价发展能力，考察近三年主营业务收入平均增长率和近三年资本平均增长率。</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根据国资委和当地有关部门发部</w:t>
            </w:r>
            <w:r>
              <w:rPr>
                <w:rFonts w:hint="eastAsia" w:ascii="仿宋" w:hAnsi="仿宋" w:eastAsia="仿宋" w:cs="宋体"/>
                <w:color w:val="000000"/>
                <w:kern w:val="0"/>
                <w:sz w:val="24"/>
                <w:szCs w:val="24"/>
              </w:rPr>
              <w:t>房地产全行业财务水平，近三年主营业务收入平均增长率和资本平均增长率</w:t>
            </w:r>
            <w:r>
              <w:rPr>
                <w:rFonts w:hint="eastAsia" w:ascii="仿宋" w:hAnsi="仿宋" w:eastAsia="仿宋" w:cs="宋体"/>
                <w:color w:val="000000"/>
                <w:kern w:val="0"/>
                <w:sz w:val="24"/>
                <w:szCs w:val="24"/>
                <w:lang w:eastAsia="zh-CN"/>
              </w:rPr>
              <w:t>高于财务平均水平</w:t>
            </w:r>
            <w:r>
              <w:rPr>
                <w:rFonts w:hint="eastAsia" w:ascii="仿宋" w:hAnsi="仿宋" w:eastAsia="仿宋" w:cs="宋体"/>
                <w:color w:val="000000"/>
                <w:kern w:val="0"/>
                <w:sz w:val="24"/>
                <w:szCs w:val="24"/>
              </w:rPr>
              <w:t>得</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等于得</w:t>
            </w:r>
            <w:r>
              <w:rPr>
                <w:rFonts w:hint="eastAsia" w:ascii="仿宋" w:hAnsi="仿宋" w:eastAsia="仿宋" w:cs="宋体"/>
                <w:color w:val="000000"/>
                <w:kern w:val="0"/>
                <w:sz w:val="24"/>
                <w:szCs w:val="24"/>
                <w:lang w:val="en-US" w:eastAsia="zh-CN"/>
              </w:rPr>
              <w:t>1分</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eastAsia="zh-CN"/>
              </w:rPr>
              <w:t>低于不得分</w:t>
            </w:r>
            <w:r>
              <w:rPr>
                <w:rFonts w:hint="eastAsia" w:ascii="仿宋" w:hAnsi="仿宋" w:eastAsia="仿宋" w:cs="宋体"/>
                <w:color w:val="000000"/>
                <w:kern w:val="0"/>
                <w:sz w:val="24"/>
                <w:szCs w:val="24"/>
              </w:rPr>
              <w:t>。平均增长率采用几何增长率计算。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1.5.4</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盈利能力</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通过评价盈利能力，考察近三年企业平均总资产收益率和近三年</w:t>
            </w:r>
            <w:r>
              <w:rPr>
                <w:rFonts w:hint="eastAsia" w:ascii="仿宋" w:hAnsi="仿宋" w:eastAsia="仿宋" w:cs="宋体"/>
                <w:color w:val="000000"/>
                <w:kern w:val="0"/>
                <w:sz w:val="24"/>
                <w:szCs w:val="24"/>
                <w:lang w:eastAsia="zh-CN"/>
              </w:rPr>
              <w:t>平均</w:t>
            </w:r>
            <w:r>
              <w:rPr>
                <w:rFonts w:hint="eastAsia" w:ascii="仿宋" w:hAnsi="仿宋" w:eastAsia="仿宋" w:cs="宋体"/>
                <w:color w:val="000000"/>
                <w:kern w:val="0"/>
                <w:sz w:val="24"/>
                <w:szCs w:val="24"/>
              </w:rPr>
              <w:t>净资产收益率。</w:t>
            </w:r>
          </w:p>
        </w:tc>
        <w:tc>
          <w:tcPr>
            <w:tcW w:w="5608"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根据国资委和当地有关部门发部</w:t>
            </w:r>
            <w:r>
              <w:rPr>
                <w:rFonts w:hint="eastAsia" w:ascii="仿宋" w:hAnsi="仿宋" w:eastAsia="仿宋" w:cs="宋体"/>
                <w:color w:val="000000"/>
                <w:kern w:val="0"/>
                <w:sz w:val="24"/>
                <w:szCs w:val="24"/>
              </w:rPr>
              <w:t>房地产全行业财务水平</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每项指标</w:t>
            </w:r>
            <w:r>
              <w:rPr>
                <w:rFonts w:hint="eastAsia" w:ascii="仿宋" w:hAnsi="仿宋" w:eastAsia="仿宋" w:cs="宋体"/>
                <w:color w:val="000000"/>
                <w:kern w:val="0"/>
                <w:sz w:val="24"/>
                <w:szCs w:val="24"/>
                <w:lang w:eastAsia="zh-CN"/>
              </w:rPr>
              <w:t>高于全行业财务水平</w:t>
            </w:r>
            <w:r>
              <w:rPr>
                <w:rFonts w:hint="eastAsia" w:ascii="仿宋" w:hAnsi="仿宋" w:eastAsia="仿宋" w:cs="宋体"/>
                <w:color w:val="000000"/>
                <w:kern w:val="0"/>
                <w:sz w:val="24"/>
                <w:szCs w:val="24"/>
              </w:rPr>
              <w:t>得</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等</w:t>
            </w:r>
            <w:r>
              <w:rPr>
                <w:rFonts w:hint="eastAsia" w:ascii="仿宋" w:hAnsi="仿宋" w:eastAsia="仿宋" w:cs="宋体"/>
                <w:color w:val="000000"/>
                <w:kern w:val="0"/>
                <w:sz w:val="24"/>
                <w:szCs w:val="24"/>
                <w:lang w:val="en-US" w:eastAsia="zh-CN"/>
              </w:rPr>
              <w:t>于</w:t>
            </w:r>
            <w:r>
              <w:rPr>
                <w:rFonts w:hint="eastAsia" w:ascii="仿宋" w:hAnsi="仿宋" w:eastAsia="仿宋" w:cs="宋体"/>
                <w:color w:val="000000"/>
                <w:kern w:val="0"/>
                <w:sz w:val="24"/>
                <w:szCs w:val="24"/>
              </w:rPr>
              <w:t>得</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低于不得</w:t>
            </w:r>
            <w:r>
              <w:rPr>
                <w:rFonts w:hint="eastAsia" w:ascii="仿宋" w:hAnsi="仿宋" w:eastAsia="仿宋" w:cs="宋体"/>
                <w:color w:val="000000"/>
                <w:kern w:val="0"/>
                <w:sz w:val="24"/>
                <w:szCs w:val="24"/>
              </w:rPr>
              <w:t>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总资产收益率=净收益/总资产，</w:t>
            </w:r>
            <w:r>
              <w:rPr>
                <w:rFonts w:hint="eastAsia" w:ascii="仿宋" w:hAnsi="仿宋" w:eastAsia="仿宋" w:cs="宋体"/>
                <w:color w:val="000000"/>
                <w:kern w:val="0"/>
                <w:sz w:val="24"/>
                <w:szCs w:val="24"/>
                <w:lang w:eastAsia="zh-CN"/>
              </w:rPr>
              <w:t>平均</w:t>
            </w:r>
            <w:r>
              <w:rPr>
                <w:rFonts w:hint="eastAsia" w:ascii="仿宋" w:hAnsi="仿宋" w:eastAsia="仿宋" w:cs="宋体"/>
                <w:color w:val="000000"/>
                <w:kern w:val="0"/>
                <w:sz w:val="24"/>
                <w:szCs w:val="24"/>
              </w:rPr>
              <w:t>净资产收益率=净收益/所有者权益。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18" w:hRule="atLeast"/>
        </w:trPr>
        <w:tc>
          <w:tcPr>
            <w:tcW w:w="1290" w:type="dxa"/>
            <w:vMerge w:val="restart"/>
            <w:vAlign w:val="center"/>
          </w:tcPr>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46</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46</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46</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企业经营信用情况</w:t>
            </w:r>
          </w:p>
          <w:p>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46</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2</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企业经营</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46</w:t>
            </w:r>
            <w:r>
              <w:rPr>
                <w:rFonts w:hint="eastAsia" w:ascii="仿宋" w:hAnsi="仿宋" w:eastAsia="仿宋" w:cs="宋体"/>
                <w:b/>
                <w:bCs/>
                <w:color w:val="000000"/>
                <w:kern w:val="0"/>
                <w:sz w:val="24"/>
                <w:szCs w:val="24"/>
              </w:rPr>
              <w:t>分</w:t>
            </w:r>
          </w:p>
        </w:tc>
        <w:tc>
          <w:tcPr>
            <w:tcW w:w="1409" w:type="dxa"/>
            <w:vMerge w:val="restart"/>
            <w:vAlign w:val="center"/>
          </w:tcPr>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企业开发</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前期信用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分）</w:t>
            </w: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both"/>
              <w:rPr>
                <w:rFonts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2.1.1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土地运作信用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评价企业是否按程序获取土地，按合同履行义务。</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企业近三年在获取土地过程中未严格遵守程序的，根据实际情况，每项目扣</w:t>
            </w:r>
            <w:r>
              <w:rPr>
                <w:rFonts w:ascii="仿宋" w:hAnsi="仿宋" w:eastAsia="仿宋" w:cs="Times New Roman"/>
                <w:color w:val="000000"/>
                <w:kern w:val="0"/>
                <w:sz w:val="24"/>
                <w:szCs w:val="24"/>
              </w:rPr>
              <w:t>0.5-1</w:t>
            </w:r>
            <w:r>
              <w:rPr>
                <w:rFonts w:hint="eastAsia" w:ascii="仿宋" w:hAnsi="仿宋" w:eastAsia="仿宋" w:cs="宋体"/>
                <w:color w:val="000000"/>
                <w:kern w:val="0"/>
                <w:sz w:val="24"/>
                <w:szCs w:val="24"/>
              </w:rPr>
              <w:t>分，累计扣满</w:t>
            </w:r>
            <w:r>
              <w:rPr>
                <w:rFonts w:ascii="仿宋" w:hAnsi="仿宋" w:eastAsia="仿宋" w:cs="Times New Roman"/>
                <w:color w:val="000000"/>
                <w:kern w:val="0"/>
                <w:sz w:val="24"/>
                <w:szCs w:val="24"/>
              </w:rPr>
              <w:t>4</w:t>
            </w:r>
            <w:r>
              <w:rPr>
                <w:rFonts w:hint="eastAsia" w:ascii="仿宋" w:hAnsi="仿宋" w:eastAsia="仿宋" w:cs="宋体"/>
                <w:color w:val="000000"/>
                <w:kern w:val="0"/>
                <w:sz w:val="24"/>
                <w:szCs w:val="24"/>
              </w:rPr>
              <w:t>分为止，但若下列</w:t>
            </w:r>
            <w:r>
              <w:rPr>
                <w:rFonts w:hint="eastAsia" w:ascii="仿宋" w:hAnsi="仿宋" w:eastAsia="仿宋" w:cs="Times New Roman"/>
                <w:color w:val="000000"/>
                <w:kern w:val="0"/>
                <w:sz w:val="24"/>
                <w:szCs w:val="24"/>
                <w:lang w:val="en-US" w:eastAsia="zh-CN"/>
              </w:rPr>
              <w:t>2</w:t>
            </w:r>
            <w:r>
              <w:rPr>
                <w:rFonts w:hint="eastAsia" w:ascii="仿宋" w:hAnsi="仿宋" w:eastAsia="仿宋" w:cs="宋体"/>
                <w:color w:val="000000"/>
                <w:kern w:val="0"/>
                <w:sz w:val="24"/>
                <w:szCs w:val="24"/>
              </w:rPr>
              <w:t>项违规事项均发生，则</w:t>
            </w:r>
            <w:r>
              <w:rPr>
                <w:rFonts w:ascii="仿宋" w:hAnsi="仿宋" w:eastAsia="仿宋" w:cs="Times New Roman"/>
                <w:color w:val="000000"/>
                <w:kern w:val="0"/>
                <w:sz w:val="24"/>
                <w:szCs w:val="24"/>
              </w:rPr>
              <w:t>2.1</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)中标后未按合同按时支付土地出让金；</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)未按土地出让合同按时按规划开发。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61"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2.1.2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规划许可信用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评价企业在规划许可过程中相关证书的规范办理情况。</w:t>
            </w:r>
          </w:p>
        </w:tc>
        <w:tc>
          <w:tcPr>
            <w:tcW w:w="5608" w:type="dxa"/>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企业近三年</w:t>
            </w:r>
            <w:r>
              <w:rPr>
                <w:rFonts w:hint="eastAsia" w:ascii="仿宋" w:hAnsi="仿宋" w:eastAsia="仿宋" w:cs="宋体"/>
                <w:color w:val="000000"/>
                <w:kern w:val="0"/>
                <w:sz w:val="24"/>
                <w:szCs w:val="24"/>
                <w:lang w:eastAsia="zh-CN"/>
              </w:rPr>
              <w:t>在建项目</w:t>
            </w:r>
            <w:r>
              <w:rPr>
                <w:rFonts w:hint="eastAsia" w:ascii="仿宋" w:hAnsi="仿宋" w:eastAsia="仿宋" w:cs="宋体"/>
                <w:color w:val="000000"/>
                <w:kern w:val="0"/>
                <w:sz w:val="24"/>
                <w:szCs w:val="24"/>
              </w:rPr>
              <w:t>《建设用地规划许可证》、《国有土地使用权证》、《建设工程规划许可证》、《建筑工程施工许可证》过程中，</w:t>
            </w:r>
            <w:r>
              <w:rPr>
                <w:rFonts w:hint="eastAsia" w:ascii="仿宋" w:hAnsi="仿宋" w:eastAsia="仿宋" w:cs="宋体"/>
                <w:color w:val="000000"/>
                <w:kern w:val="0"/>
                <w:sz w:val="24"/>
                <w:szCs w:val="24"/>
                <w:lang w:eastAsia="zh-CN"/>
              </w:rPr>
              <w:t>证件齐全得</w:t>
            </w:r>
            <w:r>
              <w:rPr>
                <w:rFonts w:hint="eastAsia" w:ascii="仿宋" w:hAnsi="仿宋" w:eastAsia="仿宋" w:cs="宋体"/>
                <w:color w:val="000000"/>
                <w:kern w:val="0"/>
                <w:sz w:val="24"/>
                <w:szCs w:val="24"/>
                <w:lang w:val="en-US" w:eastAsia="zh-CN"/>
              </w:rPr>
              <w:t>2分，缺少一项扣0.5份。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277"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2.1.3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工程招标信用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评价企业选取供应商（包括材料设备供应商和承包商）时招标信用情况。</w:t>
            </w:r>
          </w:p>
        </w:tc>
        <w:tc>
          <w:tcPr>
            <w:tcW w:w="5608" w:type="dxa"/>
            <w:vAlign w:val="center"/>
          </w:tcPr>
          <w:p>
            <w:pPr>
              <w:autoSpaceDE w:val="0"/>
              <w:autoSpaceDN w:val="0"/>
              <w:adjustRightInd w:val="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企业近三年工程招标过程中发生以下情况,根据实际情况每项目每项扣</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分,累计发生</w:t>
            </w:r>
            <w:r>
              <w:rPr>
                <w:rFonts w:hint="eastAsia" w:ascii="仿宋" w:hAnsi="仿宋" w:eastAsia="仿宋" w:cs="Times New Roman"/>
                <w:color w:val="000000"/>
                <w:kern w:val="0"/>
                <w:sz w:val="24"/>
                <w:szCs w:val="24"/>
                <w:lang w:val="en-US" w:eastAsia="zh-CN"/>
              </w:rPr>
              <w:t>2</w:t>
            </w:r>
            <w:r>
              <w:rPr>
                <w:rFonts w:hint="eastAsia" w:ascii="仿宋" w:hAnsi="仿宋" w:eastAsia="仿宋" w:cs="宋体"/>
                <w:color w:val="000000"/>
                <w:kern w:val="0"/>
                <w:sz w:val="24"/>
                <w:szCs w:val="24"/>
              </w:rPr>
              <w:t>项则</w:t>
            </w:r>
            <w:r>
              <w:rPr>
                <w:rFonts w:ascii="仿宋" w:hAnsi="仿宋" w:eastAsia="仿宋" w:cs="Times New Roman"/>
                <w:color w:val="000000"/>
                <w:kern w:val="0"/>
                <w:sz w:val="24"/>
                <w:szCs w:val="24"/>
              </w:rPr>
              <w:t>2.1</w:t>
            </w:r>
            <w:r>
              <w:rPr>
                <w:rFonts w:hint="eastAsia" w:ascii="仿宋" w:hAnsi="仿宋" w:eastAsia="仿宋" w:cs="宋体"/>
                <w:color w:val="000000"/>
                <w:kern w:val="0"/>
                <w:sz w:val="24"/>
                <w:szCs w:val="24"/>
              </w:rPr>
              <w:t>项不得分:(1)未按规定进行招标；(</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)肢解项目进行招标；</w:t>
            </w:r>
          </w:p>
          <w:p>
            <w:pPr>
              <w:autoSpaceDE w:val="0"/>
              <w:autoSpaceDN w:val="0"/>
              <w:adjustRightInd w:val="0"/>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105"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vAlign w:val="center"/>
          </w:tcPr>
          <w:p>
            <w:pPr>
              <w:autoSpaceDE w:val="0"/>
              <w:autoSpaceDN w:val="0"/>
              <w:adjustRightInd w:val="0"/>
              <w:ind w:firstLine="480" w:firstLineChars="200"/>
              <w:jc w:val="both"/>
              <w:rPr>
                <w:rFonts w:ascii="仿宋" w:hAnsi="仿宋" w:eastAsia="仿宋" w:cs="宋体"/>
                <w:color w:val="000000"/>
                <w:kern w:val="0"/>
                <w:sz w:val="24"/>
                <w:szCs w:val="24"/>
              </w:rPr>
            </w:pPr>
            <w:r>
              <w:rPr>
                <w:rFonts w:ascii="仿宋" w:hAnsi="仿宋" w:eastAsia="仿宋" w:cs="宋体"/>
                <w:color w:val="000000"/>
                <w:kern w:val="0"/>
                <w:sz w:val="24"/>
                <w:szCs w:val="24"/>
              </w:rPr>
              <w:t>2.2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企业建设</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阶段信用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2.2.1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合同信用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评价企业是否严格履约。</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企业近三年材料、设备采购合同示范文本的使用率低于</w:t>
            </w:r>
            <w:r>
              <w:rPr>
                <w:rFonts w:ascii="仿宋" w:hAnsi="仿宋" w:eastAsia="仿宋" w:cs="Times New Roman"/>
                <w:color w:val="000000"/>
                <w:kern w:val="0"/>
                <w:sz w:val="24"/>
                <w:szCs w:val="24"/>
              </w:rPr>
              <w:t>40%</w:t>
            </w:r>
            <w:r>
              <w:rPr>
                <w:rFonts w:hint="eastAsia" w:ascii="仿宋" w:hAnsi="仿宋" w:eastAsia="仿宋" w:cs="宋体"/>
                <w:color w:val="000000"/>
                <w:kern w:val="0"/>
                <w:sz w:val="24"/>
                <w:szCs w:val="24"/>
              </w:rPr>
              <w:t>扣</w:t>
            </w:r>
            <w:r>
              <w:rPr>
                <w:rFonts w:ascii="仿宋" w:hAnsi="仿宋" w:eastAsia="仿宋" w:cs="Times New Roman"/>
                <w:color w:val="000000"/>
                <w:kern w:val="0"/>
                <w:sz w:val="24"/>
                <w:szCs w:val="24"/>
              </w:rPr>
              <w:t>0.5</w:t>
            </w:r>
            <w:r>
              <w:rPr>
                <w:rFonts w:hint="eastAsia" w:ascii="仿宋" w:hAnsi="仿宋" w:eastAsia="仿宋" w:cs="宋体"/>
                <w:color w:val="000000"/>
                <w:kern w:val="0"/>
                <w:sz w:val="24"/>
                <w:szCs w:val="24"/>
              </w:rPr>
              <w:t>分；总包合同未采用示范文本或按规定需要备案的合同未及时备案的每项目扣</w:t>
            </w:r>
            <w:r>
              <w:rPr>
                <w:rFonts w:ascii="仿宋" w:hAnsi="仿宋" w:eastAsia="仿宋" w:cs="Times New Roman"/>
                <w:color w:val="000000"/>
                <w:kern w:val="0"/>
                <w:sz w:val="24"/>
                <w:szCs w:val="24"/>
              </w:rPr>
              <w:t>0.5</w:t>
            </w:r>
            <w:r>
              <w:rPr>
                <w:rFonts w:hint="eastAsia" w:ascii="仿宋" w:hAnsi="仿宋" w:eastAsia="仿宋" w:cs="宋体"/>
                <w:color w:val="000000"/>
                <w:kern w:val="0"/>
                <w:sz w:val="24"/>
                <w:szCs w:val="24"/>
              </w:rPr>
              <w:t>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企业近三年未按合同要求准时提供甲供材或其他甲供资源，每项目扣</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分；企业拖欠供应商、施工承包方合同款、设计费，根据实际数额扣</w:t>
            </w:r>
            <w:r>
              <w:rPr>
                <w:rFonts w:ascii="仿宋" w:hAnsi="仿宋" w:eastAsia="仿宋" w:cs="宋体"/>
                <w:color w:val="000000"/>
                <w:kern w:val="0"/>
                <w:sz w:val="24"/>
                <w:szCs w:val="24"/>
              </w:rPr>
              <w:t>0.5-2</w:t>
            </w:r>
            <w:r>
              <w:rPr>
                <w:rFonts w:hint="eastAsia" w:ascii="仿宋" w:hAnsi="仿宋" w:eastAsia="仿宋" w:cs="宋体"/>
                <w:color w:val="000000"/>
                <w:kern w:val="0"/>
                <w:sz w:val="24"/>
                <w:szCs w:val="24"/>
              </w:rPr>
              <w:t>分；</w:t>
            </w:r>
          </w:p>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近三年企业</w:t>
            </w:r>
            <w:r>
              <w:rPr>
                <w:rFonts w:hint="eastAsia" w:ascii="仿宋" w:hAnsi="仿宋" w:eastAsia="仿宋" w:cs="宋体"/>
                <w:color w:val="000000"/>
                <w:kern w:val="0"/>
                <w:sz w:val="24"/>
                <w:szCs w:val="24"/>
                <w:lang w:eastAsia="zh-CN"/>
              </w:rPr>
              <w:t>是否</w:t>
            </w:r>
            <w:r>
              <w:rPr>
                <w:rFonts w:hint="eastAsia" w:ascii="仿宋" w:hAnsi="仿宋" w:eastAsia="仿宋" w:cs="宋体"/>
                <w:color w:val="000000"/>
                <w:kern w:val="0"/>
                <w:sz w:val="24"/>
                <w:szCs w:val="24"/>
              </w:rPr>
              <w:t>拖欠</w:t>
            </w:r>
            <w:r>
              <w:rPr>
                <w:rFonts w:hint="eastAsia" w:ascii="仿宋" w:hAnsi="仿宋" w:eastAsia="仿宋" w:cs="宋体"/>
                <w:color w:val="000000"/>
                <w:kern w:val="0"/>
                <w:sz w:val="24"/>
                <w:szCs w:val="24"/>
                <w:lang w:eastAsia="zh-CN"/>
              </w:rPr>
              <w:t>工程</w:t>
            </w:r>
            <w:r>
              <w:rPr>
                <w:rFonts w:hint="eastAsia" w:ascii="仿宋" w:hAnsi="仿宋" w:eastAsia="仿宋" w:cs="宋体"/>
                <w:color w:val="000000"/>
                <w:kern w:val="0"/>
                <w:sz w:val="24"/>
                <w:szCs w:val="24"/>
              </w:rPr>
              <w:t>款，或与合作方有重大纠纷的，且企业承担主要责任的，</w:t>
            </w:r>
            <w:r>
              <w:rPr>
                <w:rFonts w:ascii="仿宋" w:hAnsi="仿宋" w:eastAsia="仿宋" w:cs="宋体"/>
                <w:color w:val="000000"/>
                <w:kern w:val="0"/>
                <w:sz w:val="24"/>
                <w:szCs w:val="24"/>
              </w:rPr>
              <w:t>2.2</w:t>
            </w:r>
            <w:r>
              <w:rPr>
                <w:rFonts w:hint="eastAsia" w:ascii="仿宋" w:hAnsi="仿宋" w:eastAsia="仿宋" w:cs="宋体"/>
                <w:color w:val="000000"/>
                <w:kern w:val="0"/>
                <w:sz w:val="24"/>
                <w:szCs w:val="24"/>
              </w:rPr>
              <w:t>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57"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2.2.2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质量信用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评价企业保障质量信用的能力。</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近三年工程合格率低于</w:t>
            </w:r>
            <w:r>
              <w:rPr>
                <w:rFonts w:ascii="仿宋" w:hAnsi="仿宋" w:eastAsia="仿宋" w:cs="Times New Roman"/>
                <w:color w:val="000000"/>
                <w:kern w:val="0"/>
                <w:sz w:val="24"/>
                <w:szCs w:val="24"/>
              </w:rPr>
              <w:t>100%</w:t>
            </w:r>
            <w:r>
              <w:rPr>
                <w:rFonts w:hint="eastAsia" w:ascii="仿宋" w:hAnsi="仿宋" w:eastAsia="仿宋" w:cs="宋体"/>
                <w:color w:val="000000"/>
                <w:kern w:val="0"/>
                <w:sz w:val="24"/>
                <w:szCs w:val="24"/>
              </w:rPr>
              <w:t>的，</w:t>
            </w:r>
            <w:r>
              <w:rPr>
                <w:rFonts w:ascii="仿宋" w:hAnsi="仿宋" w:eastAsia="仿宋" w:cs="Times New Roman"/>
                <w:color w:val="000000"/>
                <w:kern w:val="0"/>
                <w:sz w:val="24"/>
                <w:szCs w:val="24"/>
              </w:rPr>
              <w:t>2.2</w:t>
            </w:r>
            <w:r>
              <w:rPr>
                <w:rFonts w:hint="eastAsia" w:ascii="仿宋" w:hAnsi="仿宋" w:eastAsia="仿宋" w:cs="宋体"/>
                <w:color w:val="000000"/>
                <w:kern w:val="0"/>
                <w:sz w:val="24"/>
                <w:szCs w:val="24"/>
              </w:rPr>
              <w:t>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59"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2.2.3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进度信用</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评价企业在进度控制方面的信用。</w:t>
            </w:r>
          </w:p>
        </w:tc>
        <w:tc>
          <w:tcPr>
            <w:tcW w:w="5608"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企业近三年存在拖延</w:t>
            </w:r>
            <w:r>
              <w:rPr>
                <w:rFonts w:hint="eastAsia" w:ascii="仿宋" w:hAnsi="仿宋" w:eastAsia="仿宋" w:cs="宋体"/>
                <w:color w:val="000000"/>
                <w:kern w:val="0"/>
                <w:sz w:val="24"/>
                <w:szCs w:val="24"/>
                <w:lang w:eastAsia="zh-CN"/>
              </w:rPr>
              <w:t>工期或配套设施没有按工期如期完成的</w:t>
            </w:r>
            <w:r>
              <w:rPr>
                <w:rFonts w:hint="eastAsia" w:ascii="仿宋" w:hAnsi="仿宋" w:eastAsia="仿宋" w:cs="宋体"/>
                <w:color w:val="000000"/>
                <w:kern w:val="0"/>
                <w:sz w:val="24"/>
                <w:szCs w:val="24"/>
              </w:rPr>
              <w:t>扣</w:t>
            </w:r>
            <w:r>
              <w:rPr>
                <w:rFonts w:hint="eastAsia" w:ascii="仿宋" w:hAnsi="仿宋" w:eastAsia="仿宋" w:cs="Times New Roman"/>
                <w:color w:val="000000"/>
                <w:kern w:val="0"/>
                <w:sz w:val="24"/>
                <w:szCs w:val="24"/>
                <w:lang w:val="en-US" w:eastAsia="zh-CN"/>
              </w:rPr>
              <w:t>3</w:t>
            </w:r>
            <w:r>
              <w:rPr>
                <w:rFonts w:hint="eastAsia" w:ascii="仿宋" w:hAnsi="仿宋" w:eastAsia="仿宋" w:cs="宋体"/>
                <w:color w:val="000000"/>
                <w:kern w:val="0"/>
                <w:sz w:val="24"/>
                <w:szCs w:val="24"/>
              </w:rPr>
              <w:t>分。因</w:t>
            </w:r>
            <w:r>
              <w:rPr>
                <w:rFonts w:hint="eastAsia" w:ascii="仿宋" w:hAnsi="仿宋" w:eastAsia="仿宋" w:cs="宋体"/>
                <w:color w:val="000000"/>
                <w:kern w:val="0"/>
                <w:sz w:val="24"/>
                <w:szCs w:val="24"/>
                <w:lang w:eastAsia="zh-CN"/>
              </w:rPr>
              <w:t>特殊</w:t>
            </w:r>
            <w:r>
              <w:rPr>
                <w:rFonts w:hint="eastAsia" w:ascii="仿宋" w:hAnsi="仿宋" w:eastAsia="仿宋" w:cs="宋体"/>
                <w:color w:val="000000"/>
                <w:kern w:val="0"/>
                <w:sz w:val="24"/>
                <w:szCs w:val="24"/>
              </w:rPr>
              <w:t>原因造成的拖延工期除外。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86"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ind w:firstLine="482" w:firstLineChars="200"/>
              <w:jc w:val="both"/>
              <w:rPr>
                <w:rFonts w:ascii="仿宋" w:hAnsi="仿宋" w:eastAsia="仿宋" w:cs="宋体"/>
                <w:b/>
                <w:bCs/>
                <w:color w:val="000000"/>
                <w:kern w:val="0"/>
                <w:sz w:val="24"/>
                <w:szCs w:val="24"/>
              </w:rPr>
            </w:pPr>
            <w:r>
              <w:rPr>
                <w:rFonts w:ascii="仿宋" w:hAnsi="仿宋" w:eastAsia="仿宋" w:cs="宋体"/>
                <w:b/>
                <w:bCs/>
                <w:color w:val="000000"/>
                <w:kern w:val="0"/>
                <w:sz w:val="24"/>
                <w:szCs w:val="24"/>
              </w:rPr>
              <w:t>2.2.4</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安全信用</w:t>
            </w:r>
          </w:p>
        </w:tc>
        <w:tc>
          <w:tcPr>
            <w:tcW w:w="843" w:type="dxa"/>
            <w:vAlign w:val="center"/>
          </w:tcPr>
          <w:p>
            <w:pPr>
              <w:autoSpaceDE w:val="0"/>
              <w:autoSpaceDN w:val="0"/>
              <w:adjustRightInd w:val="0"/>
              <w:ind w:firstLine="240" w:firstLineChars="100"/>
              <w:jc w:val="both"/>
              <w:rPr>
                <w:rFonts w:ascii="仿宋" w:hAnsi="仿宋" w:eastAsia="仿宋" w:cs="宋体"/>
                <w:color w:val="000000"/>
                <w:kern w:val="0"/>
                <w:sz w:val="24"/>
                <w:szCs w:val="24"/>
              </w:rPr>
            </w:pP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评价企业防范安全事故的措施及管理结果两个层面。</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近三年发生重大安全事故的</w:t>
            </w:r>
            <w:r>
              <w:rPr>
                <w:rFonts w:ascii="仿宋" w:hAnsi="仿宋" w:eastAsia="仿宋" w:cs="Times New Roman"/>
                <w:color w:val="000000"/>
                <w:kern w:val="0"/>
                <w:sz w:val="24"/>
                <w:szCs w:val="24"/>
              </w:rPr>
              <w:t>2.2</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近三年项目未按要求制定安全技术措施的扣</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28"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2.2.5</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竣工验收</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评价企业工程竣工阶段竣工验收的合法合规性。</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近三年竣工的项目，未按相关规定办理规划、消防、配套设施等验收的，每项目每缺少</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项扣</w:t>
            </w:r>
            <w:r>
              <w:rPr>
                <w:rFonts w:hint="eastAsia" w:ascii="仿宋" w:hAnsi="仿宋" w:eastAsia="仿宋" w:cs="Times New Roman"/>
                <w:color w:val="000000"/>
                <w:kern w:val="0"/>
                <w:sz w:val="24"/>
                <w:szCs w:val="24"/>
                <w:lang w:val="en-US" w:eastAsia="zh-CN"/>
              </w:rPr>
              <w:t>1</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244"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vAlign w:val="center"/>
          </w:tcPr>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p>
          <w:p>
            <w:pPr>
              <w:autoSpaceDE w:val="0"/>
              <w:autoSpaceDN w:val="0"/>
              <w:adjustRightInd w:val="0"/>
              <w:jc w:val="both"/>
              <w:rPr>
                <w:rFonts w:ascii="仿宋" w:hAnsi="仿宋" w:eastAsia="仿宋" w:cs="宋体"/>
                <w:color w:val="000000"/>
                <w:kern w:val="0"/>
                <w:sz w:val="24"/>
                <w:szCs w:val="24"/>
              </w:rPr>
            </w:pPr>
          </w:p>
          <w:p>
            <w:pPr>
              <w:autoSpaceDE w:val="0"/>
              <w:autoSpaceDN w:val="0"/>
              <w:adjustRightInd w:val="0"/>
              <w:ind w:firstLine="480" w:firstLineChars="200"/>
              <w:jc w:val="both"/>
              <w:rPr>
                <w:rFonts w:ascii="仿宋" w:hAnsi="仿宋" w:eastAsia="仿宋" w:cs="宋体"/>
                <w:color w:val="000000"/>
                <w:kern w:val="0"/>
                <w:sz w:val="24"/>
                <w:szCs w:val="24"/>
              </w:rPr>
            </w:pPr>
            <w:r>
              <w:rPr>
                <w:rFonts w:ascii="仿宋" w:hAnsi="仿宋" w:eastAsia="仿宋" w:cs="宋体"/>
                <w:color w:val="000000"/>
                <w:kern w:val="0"/>
                <w:sz w:val="24"/>
                <w:szCs w:val="24"/>
              </w:rPr>
              <w:t>2.3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w:t>
            </w:r>
            <w:r>
              <w:rPr>
                <w:rFonts w:hint="eastAsia" w:ascii="仿宋" w:hAnsi="仿宋" w:eastAsia="仿宋" w:cs="宋体"/>
                <w:color w:val="000000"/>
                <w:kern w:val="0"/>
                <w:sz w:val="24"/>
                <w:szCs w:val="24"/>
                <w:lang w:eastAsia="zh-CN"/>
              </w:rPr>
              <w:t>销</w:t>
            </w:r>
            <w:r>
              <w:rPr>
                <w:rFonts w:hint="eastAsia" w:ascii="仿宋" w:hAnsi="仿宋" w:eastAsia="仿宋" w:cs="宋体"/>
                <w:color w:val="000000"/>
                <w:kern w:val="0"/>
                <w:sz w:val="24"/>
                <w:szCs w:val="24"/>
              </w:rPr>
              <w:t>售</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阶段信用</w:t>
            </w:r>
          </w:p>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16</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w:t>
            </w: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center"/>
              <w:rPr>
                <w:rFonts w:hint="eastAsia" w:ascii="仿宋" w:hAnsi="仿宋" w:eastAsia="仿宋" w:cs="宋体"/>
                <w:color w:val="000000"/>
                <w:kern w:val="0"/>
                <w:sz w:val="24"/>
                <w:szCs w:val="24"/>
                <w:lang w:eastAsia="zh-CN"/>
              </w:rPr>
            </w:pPr>
          </w:p>
          <w:p>
            <w:pPr>
              <w:autoSpaceDE w:val="0"/>
              <w:autoSpaceDN w:val="0"/>
              <w:adjustRightInd w:val="0"/>
              <w:jc w:val="both"/>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w:t>
            </w:r>
            <w:r>
              <w:rPr>
                <w:rFonts w:hint="eastAsia" w:ascii="仿宋" w:hAnsi="仿宋" w:eastAsia="仿宋" w:cs="宋体"/>
                <w:color w:val="000000"/>
                <w:kern w:val="0"/>
                <w:sz w:val="24"/>
                <w:szCs w:val="24"/>
                <w:lang w:eastAsia="zh-CN"/>
              </w:rPr>
              <w:t>销</w:t>
            </w:r>
            <w:r>
              <w:rPr>
                <w:rFonts w:hint="eastAsia" w:ascii="仿宋" w:hAnsi="仿宋" w:eastAsia="仿宋" w:cs="宋体"/>
                <w:color w:val="000000"/>
                <w:kern w:val="0"/>
                <w:sz w:val="24"/>
                <w:szCs w:val="24"/>
              </w:rPr>
              <w:t>售</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阶段信用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16</w:t>
            </w:r>
            <w:r>
              <w:rPr>
                <w:rFonts w:hint="eastAsia" w:ascii="仿宋" w:hAnsi="仿宋" w:eastAsia="仿宋" w:cs="宋体"/>
                <w:color w:val="000000"/>
                <w:kern w:val="0"/>
                <w:sz w:val="24"/>
                <w:szCs w:val="24"/>
              </w:rPr>
              <w:t>分）</w:t>
            </w: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both"/>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w:t>
            </w:r>
            <w:r>
              <w:rPr>
                <w:rFonts w:hint="eastAsia" w:ascii="仿宋" w:hAnsi="仿宋" w:eastAsia="仿宋" w:cs="宋体"/>
                <w:color w:val="000000"/>
                <w:kern w:val="0"/>
                <w:sz w:val="24"/>
                <w:szCs w:val="24"/>
                <w:lang w:eastAsia="zh-CN"/>
              </w:rPr>
              <w:t>销</w:t>
            </w:r>
            <w:r>
              <w:rPr>
                <w:rFonts w:hint="eastAsia" w:ascii="仿宋" w:hAnsi="仿宋" w:eastAsia="仿宋" w:cs="宋体"/>
                <w:color w:val="000000"/>
                <w:kern w:val="0"/>
                <w:sz w:val="24"/>
                <w:szCs w:val="24"/>
              </w:rPr>
              <w:t>售</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阶段信用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16</w:t>
            </w:r>
            <w:r>
              <w:rPr>
                <w:rFonts w:hint="eastAsia" w:ascii="仿宋" w:hAnsi="仿宋" w:eastAsia="仿宋" w:cs="宋体"/>
                <w:color w:val="000000"/>
                <w:kern w:val="0"/>
                <w:sz w:val="24"/>
                <w:szCs w:val="24"/>
              </w:rPr>
              <w:t>分）</w:t>
            </w:r>
          </w:p>
          <w:p>
            <w:pPr>
              <w:autoSpaceDE w:val="0"/>
              <w:autoSpaceDN w:val="0"/>
              <w:adjustRightInd w:val="0"/>
              <w:jc w:val="center"/>
              <w:rPr>
                <w:rFonts w:hint="eastAsia"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2.3.1</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推广信用</w:t>
            </w: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评价企业在销售推广过程中是否遵守相关规定，办理相关证件；对消费者是否诚信，是否存在欺诈、误导消费者的行为。</w:t>
            </w:r>
          </w:p>
          <w:p>
            <w:pPr>
              <w:autoSpaceDE w:val="0"/>
              <w:autoSpaceDN w:val="0"/>
              <w:adjustRightInd w:val="0"/>
              <w:jc w:val="left"/>
              <w:rPr>
                <w:rFonts w:ascii="仿宋" w:hAnsi="仿宋" w:eastAsia="仿宋" w:cs="宋体"/>
                <w:color w:val="000000"/>
                <w:kern w:val="0"/>
                <w:sz w:val="24"/>
                <w:szCs w:val="24"/>
              </w:rPr>
            </w:pP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企业近三年每项目在预售销售过程中，如出现下列情况，每项扣</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若发生下列</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项不同的非诚信行为，</w:t>
            </w:r>
            <w:r>
              <w:rPr>
                <w:rFonts w:ascii="仿宋" w:hAnsi="仿宋" w:eastAsia="仿宋" w:cs="宋体"/>
                <w:color w:val="000000"/>
                <w:kern w:val="0"/>
                <w:sz w:val="24"/>
                <w:szCs w:val="24"/>
              </w:rPr>
              <w:t>2.3.1</w:t>
            </w:r>
            <w:r>
              <w:rPr>
                <w:rFonts w:hint="eastAsia" w:ascii="仿宋" w:hAnsi="仿宋" w:eastAsia="仿宋" w:cs="宋体"/>
                <w:color w:val="000000"/>
                <w:kern w:val="0"/>
                <w:sz w:val="24"/>
                <w:szCs w:val="24"/>
              </w:rPr>
              <w:t>项不得分；发生</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项则</w:t>
            </w:r>
            <w:r>
              <w:rPr>
                <w:rFonts w:ascii="仿宋" w:hAnsi="仿宋" w:eastAsia="仿宋" w:cs="宋体"/>
                <w:color w:val="000000"/>
                <w:kern w:val="0"/>
                <w:sz w:val="24"/>
                <w:szCs w:val="24"/>
              </w:rPr>
              <w:t>2.3</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(1)广告发布虚假房源信息；</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发布广告含有以下内容之一：升值或者投资回报的承诺；以项目到达某一具体参照物的所需时间表示项目位置；违反国家有关价格管理的规定；对规划或者建设中的交通、商业、文化教育设施以及其他市政条件作误导宣传；</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)广告中未载明以下事项：开发企业名称；中介服务机构代理租赁或销售的，中介服务机构名称；预售或者销售许可证书号；</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)广告中含有风水、占卜等封建迷信内容，有悖社会良好风尚；</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)广告中存在价格、面积、配套设施等欺诈现象；</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)广告利用其他项目的形象、环境作为本项目的效果误导消费者；</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rPr>
              <w:t>)广告中出现融资或者变相融资的内容；</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rPr>
              <w:t>)广告中有能够为入住者办理户口、就业、升学等事项的承诺；</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rPr>
              <w:t>)广告中涉及虚假装修装饰内容。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vAlign w:val="center"/>
          </w:tcPr>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autoSpaceDE w:val="0"/>
              <w:autoSpaceDN w:val="0"/>
              <w:adjustRightInd w:val="0"/>
              <w:ind w:firstLine="480" w:firstLineChars="200"/>
              <w:jc w:val="both"/>
              <w:rPr>
                <w:rFonts w:ascii="仿宋" w:hAnsi="仿宋" w:eastAsia="仿宋" w:cs="宋体"/>
                <w:color w:val="000000"/>
                <w:kern w:val="0"/>
                <w:sz w:val="24"/>
                <w:szCs w:val="24"/>
              </w:rPr>
            </w:pPr>
            <w:r>
              <w:rPr>
                <w:rFonts w:ascii="仿宋" w:hAnsi="仿宋" w:eastAsia="仿宋" w:cs="宋体"/>
                <w:color w:val="000000"/>
                <w:kern w:val="0"/>
                <w:sz w:val="24"/>
                <w:szCs w:val="24"/>
              </w:rPr>
              <w:t>2.3.2</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预、销售信用</w:t>
            </w: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评价企业预售和销售商品房的信用情况。主要包括是否严格遵守相关规定，按照相关程序合法合规预售、销售；在出售商品房过程中有无欺诈、误导消费者行为。</w:t>
            </w:r>
          </w:p>
          <w:p>
            <w:pPr>
              <w:autoSpaceDE w:val="0"/>
              <w:autoSpaceDN w:val="0"/>
              <w:adjustRightInd w:val="0"/>
              <w:jc w:val="left"/>
              <w:rPr>
                <w:rFonts w:ascii="仿宋" w:hAnsi="仿宋" w:eastAsia="仿宋" w:cs="宋体"/>
                <w:color w:val="000000"/>
                <w:kern w:val="0"/>
                <w:sz w:val="24"/>
                <w:szCs w:val="24"/>
              </w:rPr>
            </w:pPr>
          </w:p>
        </w:tc>
        <w:tc>
          <w:tcPr>
            <w:tcW w:w="5608" w:type="dxa"/>
            <w:shd w:val="solid" w:color="FFFFFF" w:fill="auto"/>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企业近三年每项目在预售销售过程中，如出现下列情况，每项扣</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分，若发生下列</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项不同的非诚信行为，</w:t>
            </w:r>
            <w:r>
              <w:rPr>
                <w:rFonts w:ascii="仿宋" w:hAnsi="仿宋" w:eastAsia="仿宋" w:cs="宋体"/>
                <w:color w:val="000000"/>
                <w:kern w:val="0"/>
                <w:sz w:val="24"/>
                <w:szCs w:val="24"/>
              </w:rPr>
              <w:t>2.3.2</w:t>
            </w:r>
            <w:r>
              <w:rPr>
                <w:rFonts w:hint="eastAsia" w:ascii="仿宋" w:hAnsi="仿宋" w:eastAsia="仿宋" w:cs="宋体"/>
                <w:color w:val="000000"/>
                <w:kern w:val="0"/>
                <w:sz w:val="24"/>
                <w:szCs w:val="24"/>
              </w:rPr>
              <w:t>项不得分；发生</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项则</w:t>
            </w:r>
            <w:r>
              <w:rPr>
                <w:rFonts w:ascii="仿宋" w:hAnsi="仿宋" w:eastAsia="仿宋" w:cs="宋体"/>
                <w:color w:val="000000"/>
                <w:kern w:val="0"/>
                <w:sz w:val="24"/>
                <w:szCs w:val="24"/>
              </w:rPr>
              <w:t>2.3</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(1)未取得商品房预（销）售许可证，进行商品房销售；</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)未按规定使用商品房预售款项将预售款挪作他用；</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3</w:t>
            </w:r>
            <w:r>
              <w:rPr>
                <w:rFonts w:hint="eastAsia" w:ascii="仿宋" w:hAnsi="仿宋" w:eastAsia="仿宋" w:cs="宋体"/>
                <w:color w:val="000000"/>
                <w:kern w:val="0"/>
                <w:sz w:val="24"/>
                <w:szCs w:val="24"/>
              </w:rPr>
              <w:t>)委托没有资格的中介机构代理销售；</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)预售已抵押的商品房，未通知抵押权人或未将抵押情况告知买受人；</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)未按规定向买受人明示《商品房买卖合同示范文本》;</w:t>
            </w:r>
          </w:p>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)未按照规定在商品房现售前将房地产开发项目手册及符合商品房现售条件的有关证明文件报送房地产开发主管部门备案；</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7</w:t>
            </w:r>
            <w:r>
              <w:rPr>
                <w:rFonts w:hint="eastAsia" w:ascii="仿宋" w:hAnsi="仿宋" w:eastAsia="仿宋" w:cs="宋体"/>
                <w:color w:val="000000"/>
                <w:kern w:val="0"/>
                <w:sz w:val="24"/>
                <w:szCs w:val="24"/>
              </w:rPr>
              <w:t>)采取售后包租或者变相售后包租方式销售未竣工商品房；</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)经确认存在捂盘惜售或者变相囤积房源行为；</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)售房过程中雇佣人员冒充购房者制造紧张气氛的，或发布虚假供应或库存信息；</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10</w:t>
            </w:r>
            <w:r>
              <w:rPr>
                <w:rFonts w:hint="eastAsia" w:ascii="仿宋" w:hAnsi="仿宋" w:eastAsia="仿宋" w:cs="宋体"/>
                <w:color w:val="000000"/>
                <w:kern w:val="0"/>
                <w:sz w:val="24"/>
                <w:szCs w:val="24"/>
              </w:rPr>
              <w:t>)不符合商品房销售条件，以认购、预订、排号、发卡等方式向买受人收取或者变相收取定金、预订款等费用，借机抬高价格；</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11</w:t>
            </w:r>
            <w:r>
              <w:rPr>
                <w:rFonts w:hint="eastAsia" w:ascii="仿宋" w:hAnsi="仿宋" w:eastAsia="仿宋" w:cs="宋体"/>
                <w:color w:val="000000"/>
                <w:kern w:val="0"/>
                <w:sz w:val="24"/>
                <w:szCs w:val="24"/>
              </w:rPr>
              <w:t>)通过捏造或者散布涨价信息等方式恶意炒作、哄抬房价；</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12</w:t>
            </w:r>
            <w:r>
              <w:rPr>
                <w:rFonts w:hint="eastAsia" w:ascii="仿宋" w:hAnsi="仿宋" w:eastAsia="仿宋" w:cs="宋体"/>
                <w:color w:val="000000"/>
                <w:kern w:val="0"/>
                <w:sz w:val="24"/>
                <w:szCs w:val="24"/>
              </w:rPr>
              <w:t>)商品房销售不予明码标价，在标价之外加价出售房屋或者收取未标明的费用；</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13</w:t>
            </w:r>
            <w:r>
              <w:rPr>
                <w:rFonts w:hint="eastAsia" w:ascii="仿宋" w:hAnsi="仿宋" w:eastAsia="仿宋" w:cs="宋体"/>
                <w:color w:val="000000"/>
                <w:kern w:val="0"/>
                <w:sz w:val="24"/>
                <w:szCs w:val="24"/>
              </w:rPr>
              <w:t>)以捆绑搭售或者附加条件等限定方式，迫使购房人接受商品或者服务价格；</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14</w:t>
            </w:r>
            <w:r>
              <w:rPr>
                <w:rFonts w:hint="eastAsia" w:ascii="仿宋" w:hAnsi="仿宋" w:eastAsia="仿宋" w:cs="宋体"/>
                <w:color w:val="000000"/>
                <w:kern w:val="0"/>
                <w:sz w:val="24"/>
                <w:szCs w:val="24"/>
              </w:rPr>
              <w:t>)将已作为商品房销售合同标的物的商品房再销售给他人。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34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570" w:type="dxa"/>
            <w:vAlign w:val="center"/>
          </w:tcPr>
          <w:p>
            <w:pPr>
              <w:autoSpaceDE w:val="0"/>
              <w:autoSpaceDN w:val="0"/>
              <w:adjustRightInd w:val="0"/>
              <w:ind w:firstLine="240" w:firstLineChars="100"/>
              <w:jc w:val="both"/>
              <w:rPr>
                <w:rFonts w:ascii="仿宋" w:hAnsi="仿宋" w:eastAsia="仿宋" w:cs="宋体"/>
                <w:color w:val="000000"/>
                <w:kern w:val="0"/>
                <w:sz w:val="24"/>
                <w:szCs w:val="24"/>
              </w:rPr>
            </w:pPr>
            <w:r>
              <w:rPr>
                <w:rFonts w:ascii="仿宋" w:hAnsi="仿宋" w:eastAsia="仿宋" w:cs="宋体"/>
                <w:color w:val="000000"/>
                <w:kern w:val="0"/>
                <w:sz w:val="24"/>
                <w:szCs w:val="24"/>
              </w:rPr>
              <w:t>2.3.3</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合同履约信用</w:t>
            </w: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评价企业与消费者签订合同及履约情况。企业是否严格按照合同履约，在合同履行过程中，企业是否存在有失公平、欺诈、甩项等不诚信行为。</w:t>
            </w:r>
          </w:p>
          <w:p>
            <w:pPr>
              <w:autoSpaceDE w:val="0"/>
              <w:autoSpaceDN w:val="0"/>
              <w:adjustRightInd w:val="0"/>
              <w:jc w:val="left"/>
              <w:rPr>
                <w:rFonts w:ascii="仿宋" w:hAnsi="仿宋" w:eastAsia="仿宋" w:cs="宋体"/>
                <w:color w:val="000000"/>
                <w:kern w:val="0"/>
                <w:sz w:val="24"/>
                <w:szCs w:val="24"/>
              </w:rPr>
            </w:pPr>
          </w:p>
        </w:tc>
        <w:tc>
          <w:tcPr>
            <w:tcW w:w="5608" w:type="dxa"/>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企业近三年每项目在预售销售过程中，如出现下列情况，每项扣</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分，扣满</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分为止</w:t>
            </w:r>
            <w:r>
              <w:rPr>
                <w:rFonts w:hint="eastAsia" w:ascii="仿宋" w:hAnsi="仿宋" w:eastAsia="仿宋" w:cs="宋体"/>
                <w:color w:val="000000"/>
                <w:kern w:val="0"/>
                <w:sz w:val="24"/>
                <w:szCs w:val="24"/>
                <w:lang w:eastAsia="zh-CN"/>
              </w:rPr>
              <w:t>。</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)商品房买卖合同及补充约定显失公平；</w:t>
            </w:r>
          </w:p>
          <w:p>
            <w:pPr>
              <w:autoSpaceDE w:val="0"/>
              <w:autoSpaceDN w:val="0"/>
              <w:adjustRightInd w:val="0"/>
              <w:ind w:right="-29" w:rightChars="-14"/>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)签订商品房买卖合同及其补充协议时，未采取合理方式提请房屋买受人注意免除或者限制其责任的款；</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(3)未按规定办理商品房网上签约和预售登记备案；</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4</w:t>
            </w:r>
            <w:r>
              <w:rPr>
                <w:rFonts w:hint="eastAsia" w:ascii="仿宋" w:hAnsi="仿宋" w:eastAsia="仿宋" w:cs="宋体"/>
                <w:color w:val="000000"/>
                <w:kern w:val="0"/>
                <w:sz w:val="24"/>
                <w:szCs w:val="24"/>
              </w:rPr>
              <w:t>)企业延迟交房，且不按合同支付买房人延迟交房补偿；</w:t>
            </w:r>
          </w:p>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5</w:t>
            </w:r>
            <w:r>
              <w:rPr>
                <w:rFonts w:hint="eastAsia" w:ascii="仿宋" w:hAnsi="仿宋" w:eastAsia="仿宋" w:cs="宋体"/>
                <w:color w:val="000000"/>
                <w:kern w:val="0"/>
                <w:sz w:val="24"/>
                <w:szCs w:val="24"/>
              </w:rPr>
              <w:t>)企业延迟为买受人办理房屋所有权证书，且不按合同支付买房人延持办理房地产产权证补偿；</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)交付物业时，项目有甩项，或仍使用临时水电、或住宅区配套设施不具备交付使用条件；</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7</w:t>
            </w:r>
            <w:r>
              <w:rPr>
                <w:rFonts w:hint="eastAsia" w:ascii="仿宋" w:hAnsi="仿宋" w:eastAsia="仿宋" w:cs="宋体"/>
                <w:color w:val="000000"/>
                <w:kern w:val="0"/>
                <w:sz w:val="24"/>
                <w:szCs w:val="24"/>
              </w:rPr>
              <w:t>)未经房屋竣工验收或验收不合格，擅自将房屋交付使用；</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8</w:t>
            </w:r>
            <w:r>
              <w:rPr>
                <w:rFonts w:hint="eastAsia" w:ascii="仿宋" w:hAnsi="仿宋" w:eastAsia="仿宋" w:cs="宋体"/>
                <w:color w:val="000000"/>
                <w:kern w:val="0"/>
                <w:sz w:val="24"/>
                <w:szCs w:val="24"/>
              </w:rPr>
              <w:t>)在交付住宅物业时，拒不交付《住宅质量保证书》和《住宅使用说明书》；</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9</w:t>
            </w:r>
            <w:r>
              <w:rPr>
                <w:rFonts w:hint="eastAsia" w:ascii="仿宋" w:hAnsi="仿宋" w:eastAsia="仿宋" w:cs="宋体"/>
                <w:color w:val="000000"/>
                <w:kern w:val="0"/>
                <w:sz w:val="24"/>
                <w:szCs w:val="24"/>
              </w:rPr>
              <w:t>)未按规定及时缴存房屋专项维修资金；</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10</w:t>
            </w:r>
            <w:r>
              <w:rPr>
                <w:rFonts w:hint="eastAsia" w:ascii="仿宋" w:hAnsi="仿宋" w:eastAsia="仿宋" w:cs="宋体"/>
                <w:color w:val="000000"/>
                <w:kern w:val="0"/>
                <w:sz w:val="24"/>
                <w:szCs w:val="24"/>
              </w:rPr>
              <w:t>)擅自挪用住房专项维修资金；</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11</w:t>
            </w:r>
            <w:r>
              <w:rPr>
                <w:rFonts w:hint="eastAsia" w:ascii="仿宋" w:hAnsi="仿宋" w:eastAsia="仿宋" w:cs="宋体"/>
                <w:color w:val="000000"/>
                <w:kern w:val="0"/>
                <w:sz w:val="24"/>
                <w:szCs w:val="24"/>
              </w:rPr>
              <w:t>)未按规定承担房屋建筑工程质量保修责任；</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12</w:t>
            </w:r>
            <w:r>
              <w:rPr>
                <w:rFonts w:hint="eastAsia" w:ascii="仿宋" w:hAnsi="仿宋" w:eastAsia="仿宋" w:cs="宋体"/>
                <w:color w:val="000000"/>
                <w:kern w:val="0"/>
                <w:sz w:val="24"/>
                <w:szCs w:val="24"/>
              </w:rPr>
              <w:t>)商品房交付后，经工程质量监督单位复核属实的质量问题，不予妥善处理；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3)交付物业时，项目标的物实际与原设计不符，或与销售时承诺项不符的；</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14</w:t>
            </w:r>
            <w:r>
              <w:rPr>
                <w:rFonts w:hint="eastAsia" w:ascii="仿宋" w:hAnsi="仿宋" w:eastAsia="仿宋" w:cs="宋体"/>
                <w:color w:val="000000"/>
                <w:kern w:val="0"/>
                <w:sz w:val="24"/>
                <w:szCs w:val="24"/>
              </w:rPr>
              <w:t>)房产地下车位只售不租的或变相只售不租（故意提高租赁价格的）行为，导致小区车辆管理难，影响小区公共秩序的；</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15</w:t>
            </w:r>
            <w:r>
              <w:rPr>
                <w:rFonts w:hint="eastAsia" w:ascii="仿宋" w:hAnsi="仿宋" w:eastAsia="仿宋" w:cs="宋体"/>
                <w:color w:val="000000"/>
                <w:kern w:val="0"/>
                <w:sz w:val="24"/>
                <w:szCs w:val="24"/>
              </w:rPr>
              <w:t>)为提高售房率进行虚假宣传或承诺业主后期部分违章搭建的处理；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16</w:t>
            </w:r>
            <w:r>
              <w:rPr>
                <w:rFonts w:hint="eastAsia" w:ascii="仿宋" w:hAnsi="仿宋" w:eastAsia="仿宋" w:cs="宋体"/>
                <w:color w:val="000000"/>
                <w:kern w:val="0"/>
                <w:sz w:val="24"/>
                <w:szCs w:val="24"/>
              </w:rPr>
              <w:t>)由于设计缺陷导致安全隐患，发现后拒不整改的。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1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2.4</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企业前期</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物业信用</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1570" w:type="dxa"/>
            <w:vAlign w:val="center"/>
          </w:tcPr>
          <w:p>
            <w:pPr>
              <w:widowControl/>
              <w:jc w:val="left"/>
              <w:rPr>
                <w:rFonts w:hint="eastAsia" w:ascii="仿宋" w:hAnsi="仿宋" w:eastAsia="仿宋" w:cs="宋体"/>
                <w:color w:val="000000"/>
                <w:kern w:val="0"/>
                <w:sz w:val="24"/>
                <w:szCs w:val="24"/>
                <w:lang w:eastAsia="zh-CN"/>
              </w:rPr>
            </w:pPr>
          </w:p>
          <w:p>
            <w:pPr>
              <w:widowControl/>
              <w:ind w:firstLine="240" w:firstLineChars="1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物业信用</w:t>
            </w:r>
          </w:p>
          <w:p>
            <w:pPr>
              <w:widowControl/>
              <w:jc w:val="left"/>
              <w:rPr>
                <w:rFonts w:ascii="仿宋" w:hAnsi="仿宋" w:eastAsia="仿宋" w:cs="宋体"/>
                <w:color w:val="000000"/>
                <w:kern w:val="0"/>
                <w:sz w:val="24"/>
                <w:szCs w:val="24"/>
              </w:rPr>
            </w:pPr>
          </w:p>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p>
          <w:p>
            <w:pPr>
              <w:autoSpaceDE w:val="0"/>
              <w:autoSpaceDN w:val="0"/>
              <w:adjustRightInd w:val="0"/>
              <w:jc w:val="center"/>
              <w:rPr>
                <w:rFonts w:ascii="仿宋" w:hAnsi="仿宋" w:eastAsia="仿宋" w:cs="宋体"/>
                <w:color w:val="000000"/>
                <w:kern w:val="0"/>
                <w:sz w:val="24"/>
                <w:szCs w:val="24"/>
              </w:rPr>
            </w:pP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评价企业在前期物业管理中，是否按有关规定履行相应责任。</w:t>
            </w:r>
          </w:p>
          <w:p>
            <w:pPr>
              <w:autoSpaceDE w:val="0"/>
              <w:autoSpaceDN w:val="0"/>
              <w:adjustRightInd w:val="0"/>
              <w:jc w:val="left"/>
              <w:rPr>
                <w:rFonts w:ascii="仿宋" w:hAnsi="仿宋" w:eastAsia="仿宋" w:cs="宋体"/>
                <w:color w:val="000000"/>
                <w:kern w:val="0"/>
                <w:sz w:val="24"/>
                <w:szCs w:val="24"/>
              </w:rPr>
            </w:pPr>
          </w:p>
        </w:tc>
        <w:tc>
          <w:tcPr>
            <w:tcW w:w="5608" w:type="dxa"/>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企业近三年每项目在前期物业管理过程中，如出现下列情况，每项扣</w:t>
            </w:r>
            <w:r>
              <w:rPr>
                <w:rFonts w:ascii="仿宋" w:hAnsi="仿宋" w:eastAsia="仿宋" w:cs="Times New Roman"/>
                <w:color w:val="000000"/>
                <w:kern w:val="0"/>
                <w:sz w:val="24"/>
                <w:szCs w:val="24"/>
              </w:rPr>
              <w:t>0.5</w:t>
            </w:r>
            <w:r>
              <w:rPr>
                <w:rFonts w:hint="eastAsia" w:ascii="仿宋" w:hAnsi="仿宋" w:eastAsia="仿宋" w:cs="宋体"/>
                <w:color w:val="000000"/>
                <w:kern w:val="0"/>
                <w:sz w:val="24"/>
                <w:szCs w:val="24"/>
              </w:rPr>
              <w:t>分，若发生下列</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项不同的非诚信行为，</w:t>
            </w:r>
            <w:r>
              <w:rPr>
                <w:rFonts w:ascii="仿宋" w:hAnsi="仿宋" w:eastAsia="仿宋" w:cs="Times New Roman"/>
                <w:color w:val="000000"/>
                <w:kern w:val="0"/>
                <w:sz w:val="24"/>
                <w:szCs w:val="24"/>
              </w:rPr>
              <w:t>2.4</w:t>
            </w:r>
            <w:r>
              <w:rPr>
                <w:rFonts w:hint="eastAsia" w:ascii="仿宋" w:hAnsi="仿宋" w:eastAsia="仿宋" w:cs="宋体"/>
                <w:color w:val="000000"/>
                <w:kern w:val="0"/>
                <w:sz w:val="24"/>
                <w:szCs w:val="24"/>
              </w:rPr>
              <w:t>项不得分：</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)未按规定在取得商品房销售许可证之前，选聘前期物业服务企业并签订前期物业服务合同；</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2</w:t>
            </w:r>
            <w:r>
              <w:rPr>
                <w:rFonts w:hint="eastAsia" w:ascii="仿宋" w:hAnsi="仿宋" w:eastAsia="仿宋" w:cs="宋体"/>
                <w:color w:val="000000"/>
                <w:kern w:val="0"/>
                <w:sz w:val="24"/>
                <w:szCs w:val="24"/>
              </w:rPr>
              <w:t>)未按规定通过招标选聘前期物业服务企业；</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)在与物业买受人签订的房屋买卖合同中未包含前期物业服务合同约定的主要内容；</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4</w:t>
            </w:r>
            <w:r>
              <w:rPr>
                <w:rFonts w:hint="eastAsia" w:ascii="仿宋" w:hAnsi="仿宋" w:eastAsia="仿宋" w:cs="宋体"/>
                <w:color w:val="000000"/>
                <w:kern w:val="0"/>
                <w:sz w:val="24"/>
                <w:szCs w:val="24"/>
              </w:rPr>
              <w:t>)未按规定配置物业管理用房；</w:t>
            </w:r>
          </w:p>
          <w:p>
            <w:pPr>
              <w:autoSpaceDE w:val="0"/>
              <w:autoSpaceDN w:val="0"/>
              <w:adjustRightInd w:val="0"/>
              <w:ind w:right="-29" w:rightChars="-14"/>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5</w:t>
            </w:r>
            <w:r>
              <w:rPr>
                <w:rFonts w:hint="eastAsia" w:ascii="仿宋" w:hAnsi="仿宋" w:eastAsia="仿宋" w:cs="宋体"/>
                <w:color w:val="000000"/>
                <w:kern w:val="0"/>
                <w:sz w:val="24"/>
                <w:szCs w:val="24"/>
              </w:rPr>
              <w:t>)未按规定向主管部门或行业协会办理相关备案手续；</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ascii="仿宋" w:hAnsi="仿宋" w:eastAsia="仿宋" w:cs="Times New Roman"/>
                <w:color w:val="000000"/>
                <w:kern w:val="0"/>
                <w:sz w:val="24"/>
                <w:szCs w:val="24"/>
              </w:rPr>
              <w:t>6</w:t>
            </w:r>
            <w:r>
              <w:rPr>
                <w:rFonts w:hint="eastAsia" w:ascii="仿宋" w:hAnsi="仿宋" w:eastAsia="仿宋" w:cs="宋体"/>
                <w:color w:val="000000"/>
                <w:kern w:val="0"/>
                <w:sz w:val="24"/>
                <w:szCs w:val="24"/>
              </w:rPr>
              <w:t>)未按规定与前期物业服务企业办理物业承接验收手续，并移交物业档案资料、物业管理用房，或承接查验未符合标准强行移交；</w:t>
            </w:r>
          </w:p>
          <w:p>
            <w:pPr>
              <w:autoSpaceDE w:val="0"/>
              <w:autoSpaceDN w:val="0"/>
              <w:adjustRightInd w:val="0"/>
              <w:jc w:val="left"/>
              <w:rPr>
                <w:rFonts w:hint="eastAsia" w:ascii="仿宋" w:hAnsi="仿宋" w:eastAsia="仿宋" w:cs="Times New Roman"/>
                <w:color w:val="000000"/>
                <w:kern w:val="0"/>
                <w:sz w:val="24"/>
                <w:szCs w:val="24"/>
              </w:rPr>
            </w:pP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val="en-US" w:eastAsia="zh-CN"/>
              </w:rPr>
              <w:t>7</w:t>
            </w: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eastAsia="zh-CN"/>
              </w:rPr>
              <w:t>制</w:t>
            </w:r>
            <w:r>
              <w:rPr>
                <w:rFonts w:hint="eastAsia" w:ascii="仿宋" w:hAnsi="仿宋" w:eastAsia="仿宋" w:cs="宋体"/>
                <w:color w:val="000000"/>
                <w:kern w:val="0"/>
                <w:sz w:val="24"/>
                <w:szCs w:val="24"/>
              </w:rPr>
              <w:t>定的业主临时公约侵害房屋买受人利益；</w:t>
            </w:r>
          </w:p>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val="en-US" w:eastAsia="zh-CN"/>
              </w:rPr>
              <w:t>8</w:t>
            </w: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eastAsia="zh-CN"/>
              </w:rPr>
              <w:t>未</w:t>
            </w:r>
            <w:r>
              <w:rPr>
                <w:rFonts w:hint="eastAsia" w:ascii="仿宋" w:hAnsi="仿宋" w:eastAsia="仿宋" w:cs="宋体"/>
                <w:color w:val="000000"/>
                <w:kern w:val="0"/>
                <w:sz w:val="24"/>
                <w:szCs w:val="24"/>
              </w:rPr>
              <w:t>按前期物业服务合同约定的金额和时间缴纳已竣工但尚未出售或者尚未交付给买受人的物业服务费（含车位物业服务费）；</w:t>
            </w:r>
          </w:p>
          <w:p>
            <w:pPr>
              <w:autoSpaceDE w:val="0"/>
              <w:autoSpaceDN w:val="0"/>
              <w:adjustRightInd w:val="0"/>
              <w:jc w:val="left"/>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w:t>
            </w:r>
            <w:r>
              <w:rPr>
                <w:rFonts w:hint="eastAsia" w:ascii="仿宋" w:hAnsi="仿宋" w:eastAsia="仿宋" w:cs="Times New Roman"/>
                <w:color w:val="000000"/>
                <w:kern w:val="0"/>
                <w:sz w:val="24"/>
                <w:szCs w:val="24"/>
                <w:lang w:val="en-US" w:eastAsia="zh-CN"/>
              </w:rPr>
              <w:t>9</w:t>
            </w:r>
            <w:r>
              <w:rPr>
                <w:rFonts w:hint="eastAsia" w:ascii="仿宋" w:hAnsi="仿宋" w:eastAsia="仿宋" w:cs="Times New Roman"/>
                <w:color w:val="000000"/>
                <w:kern w:val="0"/>
                <w:sz w:val="24"/>
                <w:szCs w:val="24"/>
              </w:rPr>
              <w:t>）</w:t>
            </w:r>
            <w:r>
              <w:rPr>
                <w:rFonts w:hint="eastAsia" w:ascii="仿宋" w:hAnsi="仿宋" w:eastAsia="仿宋" w:cs="宋体"/>
                <w:color w:val="000000"/>
                <w:kern w:val="0"/>
                <w:sz w:val="24"/>
                <w:szCs w:val="24"/>
              </w:rPr>
              <w:t>擅自处分属于业主依法享有的物业共用部位、共用设施设备的所有权或者使用权。</w:t>
            </w:r>
          </w:p>
          <w:p>
            <w:pPr>
              <w:autoSpaceDE w:val="0"/>
              <w:autoSpaceDN w:val="0"/>
              <w:adjustRightInd w:val="0"/>
              <w:jc w:val="left"/>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（1</w:t>
            </w:r>
            <w:r>
              <w:rPr>
                <w:rFonts w:hint="eastAsia" w:ascii="仿宋" w:hAnsi="仿宋" w:eastAsia="仿宋" w:cs="Times New Roman"/>
                <w:color w:val="000000"/>
                <w:kern w:val="0"/>
                <w:sz w:val="24"/>
                <w:szCs w:val="24"/>
                <w:lang w:val="en-US" w:eastAsia="zh-CN"/>
              </w:rPr>
              <w:t>0</w:t>
            </w:r>
            <w:r>
              <w:rPr>
                <w:rFonts w:hint="eastAsia" w:ascii="仿宋" w:hAnsi="仿宋" w:eastAsia="仿宋" w:cs="Times New Roman"/>
                <w:color w:val="000000"/>
                <w:kern w:val="0"/>
                <w:sz w:val="24"/>
                <w:szCs w:val="24"/>
              </w:rPr>
              <w:t>）</w:t>
            </w:r>
            <w:r>
              <w:rPr>
                <w:rFonts w:hint="eastAsia" w:ascii="仿宋" w:hAnsi="仿宋" w:eastAsia="仿宋" w:cs="宋体"/>
                <w:color w:val="000000"/>
                <w:kern w:val="0"/>
                <w:sz w:val="24"/>
                <w:szCs w:val="24"/>
              </w:rPr>
              <w:t>未在已交付区域和施工未交付区域设置有效封闭隔离。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70" w:hRule="atLeast"/>
        </w:trPr>
        <w:tc>
          <w:tcPr>
            <w:tcW w:w="1290" w:type="dxa"/>
            <w:vMerge w:val="restart"/>
            <w:vAlign w:val="center"/>
          </w:tcPr>
          <w:p>
            <w:pPr>
              <w:autoSpaceDE w:val="0"/>
              <w:autoSpaceDN w:val="0"/>
              <w:adjustRightInd w:val="0"/>
              <w:jc w:val="center"/>
              <w:rPr>
                <w:rFonts w:ascii="仿宋" w:hAnsi="仿宋" w:eastAsia="仿宋" w:cs="宋体"/>
                <w:b/>
                <w:bCs/>
                <w:color w:val="000000"/>
                <w:kern w:val="0"/>
                <w:sz w:val="24"/>
                <w:szCs w:val="24"/>
              </w:rPr>
            </w:pPr>
          </w:p>
          <w:p>
            <w:pPr>
              <w:autoSpaceDE w:val="0"/>
              <w:autoSpaceDN w:val="0"/>
              <w:adjustRightInd w:val="0"/>
              <w:ind w:firstLine="482" w:firstLineChars="200"/>
              <w:jc w:val="both"/>
              <w:rPr>
                <w:rFonts w:ascii="仿宋" w:hAnsi="仿宋" w:eastAsia="仿宋" w:cs="宋体"/>
                <w:b/>
                <w:bCs/>
                <w:color w:val="000000"/>
                <w:kern w:val="0"/>
                <w:sz w:val="24"/>
                <w:szCs w:val="24"/>
              </w:rPr>
            </w:pPr>
            <w:r>
              <w:rPr>
                <w:rFonts w:ascii="仿宋" w:hAnsi="仿宋" w:eastAsia="仿宋" w:cs="宋体"/>
                <w:b/>
                <w:bCs/>
                <w:color w:val="000000"/>
                <w:kern w:val="0"/>
                <w:sz w:val="24"/>
                <w:szCs w:val="24"/>
              </w:rPr>
              <w:t>3</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企业社会</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19</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r>
              <w:rPr>
                <w:rFonts w:ascii="仿宋" w:hAnsi="仿宋" w:eastAsia="仿宋" w:cs="宋体"/>
                <w:b/>
                <w:bCs/>
                <w:color w:val="000000"/>
                <w:kern w:val="0"/>
                <w:sz w:val="24"/>
                <w:szCs w:val="24"/>
              </w:rPr>
              <w:t>3</w:t>
            </w:r>
            <w:r>
              <w:rPr>
                <w:rFonts w:hint="eastAsia" w:ascii="仿宋" w:hAnsi="仿宋" w:eastAsia="仿宋" w:cs="宋体"/>
                <w:b/>
                <w:bCs/>
                <w:color w:val="000000"/>
                <w:kern w:val="0"/>
                <w:sz w:val="24"/>
                <w:szCs w:val="24"/>
              </w:rPr>
              <w:t>.</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企业社会</w:t>
            </w:r>
          </w:p>
          <w:p>
            <w:pPr>
              <w:autoSpaceDE w:val="0"/>
              <w:autoSpaceDN w:val="0"/>
              <w:adjustRightIn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信用情况</w:t>
            </w:r>
          </w:p>
          <w:p>
            <w:pPr>
              <w:autoSpaceDE w:val="0"/>
              <w:autoSpaceDN w:val="0"/>
              <w:adjustRightInd w:val="0"/>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lang w:val="en-US" w:eastAsia="zh-CN"/>
              </w:rPr>
              <w:t>19</w:t>
            </w:r>
            <w:r>
              <w:rPr>
                <w:rFonts w:hint="eastAsia" w:ascii="仿宋" w:hAnsi="仿宋" w:eastAsia="仿宋" w:cs="宋体"/>
                <w:b/>
                <w:bCs/>
                <w:color w:val="000000"/>
                <w:kern w:val="0"/>
                <w:sz w:val="24"/>
                <w:szCs w:val="24"/>
              </w:rPr>
              <w:t>分</w:t>
            </w: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center"/>
              <w:rPr>
                <w:rFonts w:hint="eastAsia" w:ascii="仿宋" w:hAnsi="仿宋" w:eastAsia="仿宋" w:cs="宋体"/>
                <w:b/>
                <w:bCs/>
                <w:color w:val="000000"/>
                <w:kern w:val="0"/>
                <w:sz w:val="24"/>
                <w:szCs w:val="24"/>
              </w:rPr>
            </w:pPr>
          </w:p>
          <w:p>
            <w:pPr>
              <w:autoSpaceDE w:val="0"/>
              <w:autoSpaceDN w:val="0"/>
              <w:adjustRightInd w:val="0"/>
              <w:jc w:val="both"/>
              <w:rPr>
                <w:rFonts w:hint="eastAsia" w:ascii="仿宋" w:hAnsi="仿宋" w:eastAsia="仿宋" w:cs="宋体"/>
                <w:b/>
                <w:bCs/>
                <w:color w:val="000000"/>
                <w:kern w:val="0"/>
                <w:sz w:val="24"/>
                <w:szCs w:val="24"/>
              </w:rPr>
            </w:pPr>
          </w:p>
          <w:p>
            <w:pPr>
              <w:autoSpaceDE w:val="0"/>
              <w:autoSpaceDN w:val="0"/>
              <w:adjustRightInd w:val="0"/>
              <w:jc w:val="center"/>
              <w:rPr>
                <w:rFonts w:ascii="仿宋" w:hAnsi="仿宋" w:eastAsia="仿宋" w:cs="宋体"/>
                <w:b/>
                <w:bCs/>
                <w:color w:val="000000"/>
                <w:kern w:val="0"/>
                <w:sz w:val="24"/>
                <w:szCs w:val="24"/>
              </w:rPr>
            </w:pPr>
          </w:p>
        </w:tc>
        <w:tc>
          <w:tcPr>
            <w:tcW w:w="1409" w:type="dxa"/>
            <w:vMerge w:val="restart"/>
            <w:shd w:val="solid" w:color="FFFFFF" w:fill="auto"/>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企业公共</w:t>
            </w:r>
          </w:p>
          <w:p>
            <w:pPr>
              <w:autoSpaceDE w:val="0"/>
              <w:autoSpaceDN w:val="0"/>
              <w:adjustRightInd w:val="0"/>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信用信息</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4分</w:t>
            </w:r>
            <w:r>
              <w:rPr>
                <w:rFonts w:hint="eastAsia" w:ascii="仿宋" w:hAnsi="仿宋" w:eastAsia="仿宋" w:cs="宋体"/>
                <w:color w:val="000000"/>
                <w:kern w:val="0"/>
                <w:sz w:val="24"/>
                <w:szCs w:val="24"/>
              </w:rPr>
              <w:t>）</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3.1.1</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公共信用记录</w:t>
            </w: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评价企业在金融机构、工商、税务、消协、住建、房管、国土、环保、质监、安监、消防、司法等相关部门信用记录情况。</w:t>
            </w:r>
          </w:p>
        </w:tc>
        <w:tc>
          <w:tcPr>
            <w:tcW w:w="5608"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企业近三年在各机构、监管部门存在不良记录，每项扣</w:t>
            </w:r>
            <w:r>
              <w:rPr>
                <w:rFonts w:hint="eastAsia" w:ascii="仿宋" w:hAnsi="仿宋" w:eastAsia="仿宋" w:cs="宋体"/>
                <w:color w:val="000000"/>
                <w:kern w:val="0"/>
                <w:sz w:val="24"/>
                <w:szCs w:val="24"/>
                <w:lang w:val="en-US" w:eastAsia="zh-CN"/>
              </w:rPr>
              <w:t>0.5</w:t>
            </w:r>
            <w:r>
              <w:rPr>
                <w:rFonts w:hint="eastAsia" w:ascii="仿宋" w:hAnsi="仿宋" w:eastAsia="仿宋" w:cs="宋体"/>
                <w:color w:val="000000"/>
                <w:kern w:val="0"/>
                <w:sz w:val="24"/>
                <w:szCs w:val="24"/>
              </w:rPr>
              <w:t>分，若发生</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项不</w:t>
            </w:r>
            <w:r>
              <w:rPr>
                <w:rFonts w:hint="eastAsia" w:ascii="仿宋" w:hAnsi="仿宋" w:eastAsia="仿宋" w:cs="宋体"/>
                <w:color w:val="000000"/>
                <w:kern w:val="0"/>
                <w:sz w:val="24"/>
                <w:szCs w:val="24"/>
                <w:lang w:eastAsia="zh-CN"/>
              </w:rPr>
              <w:t>良记录</w:t>
            </w:r>
            <w:r>
              <w:rPr>
                <w:rFonts w:hint="eastAsia" w:ascii="仿宋" w:hAnsi="仿宋" w:eastAsia="仿宋" w:cs="宋体"/>
                <w:color w:val="000000"/>
                <w:kern w:val="0"/>
                <w:sz w:val="24"/>
                <w:szCs w:val="24"/>
              </w:rPr>
              <w:t>，</w:t>
            </w:r>
            <w:r>
              <w:rPr>
                <w:rFonts w:hint="eastAsia" w:ascii="仿宋" w:hAnsi="仿宋" w:eastAsia="仿宋" w:cs="Times New Roman"/>
                <w:color w:val="000000"/>
                <w:kern w:val="0"/>
                <w:sz w:val="24"/>
                <w:szCs w:val="24"/>
                <w:lang w:val="en-US" w:eastAsia="zh-CN"/>
              </w:rPr>
              <w:t>3.1.1</w:t>
            </w:r>
            <w:r>
              <w:rPr>
                <w:rFonts w:hint="eastAsia" w:ascii="仿宋" w:hAnsi="仿宋" w:eastAsia="仿宋" w:cs="宋体"/>
                <w:color w:val="000000"/>
                <w:kern w:val="0"/>
                <w:sz w:val="24"/>
                <w:szCs w:val="24"/>
              </w:rPr>
              <w:t>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14"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Merge w:val="continue"/>
            <w:shd w:val="solid" w:color="FFFFFF" w:fill="auto"/>
            <w:vAlign w:val="center"/>
          </w:tcPr>
          <w:p>
            <w:pPr>
              <w:autoSpaceDE w:val="0"/>
              <w:autoSpaceDN w:val="0"/>
              <w:adjustRightInd w:val="0"/>
              <w:jc w:val="center"/>
              <w:rPr>
                <w:rFonts w:ascii="仿宋" w:hAnsi="仿宋" w:eastAsia="仿宋" w:cs="宋体"/>
                <w:color w:val="000000"/>
                <w:kern w:val="0"/>
                <w:sz w:val="24"/>
                <w:szCs w:val="24"/>
              </w:rPr>
            </w:pPr>
          </w:p>
        </w:tc>
        <w:tc>
          <w:tcPr>
            <w:tcW w:w="1570" w:type="dxa"/>
            <w:shd w:val="solid" w:color="FFFFFF" w:fill="auto"/>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3.1.2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纳税额</w:t>
            </w:r>
          </w:p>
        </w:tc>
        <w:tc>
          <w:tcPr>
            <w:tcW w:w="843" w:type="dxa"/>
            <w:shd w:val="solid" w:color="FFFFFF" w:fill="auto"/>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分</w:t>
            </w:r>
          </w:p>
        </w:tc>
        <w:tc>
          <w:tcPr>
            <w:tcW w:w="4336" w:type="dxa"/>
            <w:shd w:val="solid" w:color="FFFFFF" w:fill="auto"/>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通过评价企业纳税额，反映企业纳税贡献率。</w:t>
            </w:r>
          </w:p>
        </w:tc>
        <w:tc>
          <w:tcPr>
            <w:tcW w:w="5608" w:type="dxa"/>
            <w:shd w:val="solid" w:color="FFFFFF" w:fill="auto"/>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近三年平均纳税贡献率（纳税额</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资产规模）大于等于</w:t>
            </w:r>
            <w:r>
              <w:rPr>
                <w:rFonts w:ascii="仿宋" w:hAnsi="仿宋" w:eastAsia="仿宋" w:cs="Times New Roman"/>
                <w:color w:val="000000"/>
                <w:kern w:val="0"/>
                <w:sz w:val="24"/>
                <w:szCs w:val="24"/>
              </w:rPr>
              <w:t>3%</w:t>
            </w:r>
            <w:r>
              <w:rPr>
                <w:rFonts w:hint="eastAsia" w:ascii="仿宋" w:hAnsi="仿宋" w:eastAsia="仿宋" w:cs="宋体"/>
                <w:color w:val="000000"/>
                <w:kern w:val="0"/>
                <w:sz w:val="24"/>
                <w:szCs w:val="24"/>
              </w:rPr>
              <w:t>的得</w:t>
            </w:r>
            <w:r>
              <w:rPr>
                <w:rFonts w:ascii="仿宋" w:hAnsi="仿宋" w:eastAsia="仿宋" w:cs="Times New Roman"/>
                <w:color w:val="000000"/>
                <w:kern w:val="0"/>
                <w:sz w:val="24"/>
                <w:szCs w:val="24"/>
              </w:rPr>
              <w:t>2</w:t>
            </w:r>
            <w:r>
              <w:rPr>
                <w:rFonts w:hint="eastAsia" w:ascii="仿宋" w:hAnsi="仿宋" w:eastAsia="仿宋" w:cs="宋体"/>
                <w:color w:val="000000"/>
                <w:kern w:val="0"/>
                <w:sz w:val="24"/>
                <w:szCs w:val="24"/>
              </w:rPr>
              <w:t>分；</w:t>
            </w:r>
            <w:r>
              <w:rPr>
                <w:rFonts w:ascii="仿宋" w:hAnsi="仿宋" w:eastAsia="仿宋" w:cs="Times New Roman"/>
                <w:color w:val="000000"/>
                <w:kern w:val="0"/>
                <w:sz w:val="24"/>
                <w:szCs w:val="24"/>
              </w:rPr>
              <w:t>2%-3%</w:t>
            </w:r>
            <w:r>
              <w:rPr>
                <w:rFonts w:hint="eastAsia" w:ascii="仿宋" w:hAnsi="仿宋" w:eastAsia="仿宋" w:cs="宋体"/>
                <w:color w:val="000000"/>
                <w:kern w:val="0"/>
                <w:sz w:val="24"/>
                <w:szCs w:val="24"/>
              </w:rPr>
              <w:t>得</w:t>
            </w:r>
            <w:r>
              <w:rPr>
                <w:rFonts w:ascii="仿宋" w:hAnsi="仿宋" w:eastAsia="仿宋" w:cs="Times New Roman"/>
                <w:color w:val="000000"/>
                <w:kern w:val="0"/>
                <w:sz w:val="24"/>
                <w:szCs w:val="24"/>
              </w:rPr>
              <w:t>1.5</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1%-2</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得</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分；</w:t>
            </w:r>
            <w:r>
              <w:rPr>
                <w:rFonts w:ascii="仿宋" w:hAnsi="仿宋" w:eastAsia="仿宋" w:cs="宋体"/>
                <w:color w:val="000000"/>
                <w:kern w:val="0"/>
                <w:sz w:val="24"/>
                <w:szCs w:val="24"/>
              </w:rPr>
              <w:t>0.5%-1%</w:t>
            </w:r>
            <w:r>
              <w:rPr>
                <w:rFonts w:hint="eastAsia" w:ascii="仿宋" w:hAnsi="仿宋" w:eastAsia="仿宋" w:cs="宋体"/>
                <w:color w:val="000000"/>
                <w:kern w:val="0"/>
                <w:sz w:val="24"/>
                <w:szCs w:val="24"/>
              </w:rPr>
              <w:t>得</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分，小于</w:t>
            </w:r>
            <w:r>
              <w:rPr>
                <w:rFonts w:ascii="仿宋" w:hAnsi="仿宋" w:eastAsia="仿宋" w:cs="宋体"/>
                <w:color w:val="000000"/>
                <w:kern w:val="0"/>
                <w:sz w:val="24"/>
                <w:szCs w:val="24"/>
              </w:rPr>
              <w:t>0.5%</w:t>
            </w:r>
            <w:r>
              <w:rPr>
                <w:rFonts w:hint="eastAsia" w:ascii="仿宋" w:hAnsi="仿宋" w:eastAsia="仿宋" w:cs="宋体"/>
                <w:color w:val="000000"/>
                <w:kern w:val="0"/>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88"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3.2</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企业对</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合作方信用</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6</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评价企业对合作方信用，包括股东、设计单位、供应商、施工承包方、勘察、监理及上下游合作企业等。</w:t>
            </w:r>
          </w:p>
        </w:tc>
        <w:tc>
          <w:tcPr>
            <w:tcW w:w="5608"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抽样调查企业主要合作方，包括股东、设计单位、供应商、施工承包方、勘察、监理及上下游合作企业</w:t>
            </w:r>
            <w:r>
              <w:rPr>
                <w:rFonts w:ascii="仿宋" w:hAnsi="仿宋" w:eastAsia="仿宋" w:cs="Times New Roman"/>
                <w:color w:val="000000"/>
                <w:kern w:val="0"/>
                <w:sz w:val="24"/>
                <w:szCs w:val="24"/>
              </w:rPr>
              <w:t>,</w:t>
            </w:r>
            <w:r>
              <w:rPr>
                <w:rFonts w:hint="eastAsia" w:ascii="仿宋" w:hAnsi="仿宋" w:eastAsia="仿宋" w:cs="宋体"/>
                <w:color w:val="000000"/>
                <w:kern w:val="0"/>
                <w:sz w:val="24"/>
                <w:szCs w:val="24"/>
              </w:rPr>
              <w:t>无不良记录得满分，每出现一项不良记录，根据情节严重程度扣</w:t>
            </w:r>
            <w:r>
              <w:rPr>
                <w:rFonts w:ascii="仿宋" w:hAnsi="仿宋" w:eastAsia="仿宋" w:cs="Times New Roman"/>
                <w:color w:val="000000"/>
                <w:kern w:val="0"/>
                <w:sz w:val="24"/>
                <w:szCs w:val="24"/>
              </w:rPr>
              <w:t>0.5-1</w:t>
            </w:r>
            <w:r>
              <w:rPr>
                <w:rFonts w:hint="eastAsia" w:ascii="仿宋" w:hAnsi="仿宋" w:eastAsia="仿宋" w:cs="宋体"/>
                <w:color w:val="000000"/>
                <w:kern w:val="0"/>
                <w:sz w:val="24"/>
                <w:szCs w:val="24"/>
              </w:rPr>
              <w:t>分，累计扣满</w:t>
            </w:r>
            <w:r>
              <w:rPr>
                <w:rFonts w:ascii="仿宋" w:hAnsi="仿宋" w:eastAsia="仿宋" w:cs="Times New Roman"/>
                <w:color w:val="000000"/>
                <w:kern w:val="0"/>
                <w:sz w:val="24"/>
                <w:szCs w:val="24"/>
              </w:rPr>
              <w:t>6</w:t>
            </w:r>
            <w:r>
              <w:rPr>
                <w:rFonts w:hint="eastAsia" w:ascii="仿宋" w:hAnsi="仿宋" w:eastAsia="仿宋"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50" w:hRule="atLeast"/>
        </w:trPr>
        <w:tc>
          <w:tcPr>
            <w:tcW w:w="1290" w:type="dxa"/>
            <w:vMerge w:val="continue"/>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autoSpaceDE w:val="0"/>
              <w:autoSpaceDN w:val="0"/>
              <w:adjustRightInd w:val="0"/>
              <w:jc w:val="center"/>
              <w:rPr>
                <w:rFonts w:ascii="仿宋" w:hAnsi="仿宋" w:eastAsia="仿宋" w:cs="宋体"/>
                <w:color w:val="000000"/>
                <w:kern w:val="0"/>
                <w:sz w:val="24"/>
                <w:szCs w:val="24"/>
              </w:rPr>
            </w:pPr>
            <w:r>
              <w:rPr>
                <w:rFonts w:ascii="仿宋" w:hAnsi="仿宋" w:eastAsia="仿宋" w:cs="宋体"/>
                <w:color w:val="000000"/>
                <w:kern w:val="0"/>
                <w:sz w:val="24"/>
                <w:szCs w:val="24"/>
              </w:rPr>
              <w:t>3.3</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企业对</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员工信用</w:t>
            </w:r>
          </w:p>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分）</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评价企业是否为员工正常缴纳五险一金，是否按劳动合同法保障员工权益。</w:t>
            </w:r>
          </w:p>
        </w:tc>
        <w:tc>
          <w:tcPr>
            <w:tcW w:w="5608" w:type="dxa"/>
            <w:vAlign w:val="center"/>
          </w:tcPr>
          <w:p>
            <w:pPr>
              <w:autoSpaceDE w:val="0"/>
              <w:autoSpaceDN w:val="0"/>
              <w:adjustRightInd w:val="0"/>
              <w:rPr>
                <w:rFonts w:ascii="仿宋" w:hAnsi="仿宋" w:eastAsia="仿宋" w:cs="Times New Roman"/>
                <w:color w:val="000000"/>
                <w:kern w:val="0"/>
                <w:sz w:val="24"/>
                <w:szCs w:val="24"/>
              </w:rPr>
            </w:pPr>
            <w:r>
              <w:rPr>
                <w:rFonts w:hint="eastAsia" w:ascii="仿宋" w:hAnsi="仿宋" w:eastAsia="仿宋" w:cs="宋体"/>
                <w:color w:val="000000"/>
                <w:kern w:val="0"/>
                <w:sz w:val="24"/>
                <w:szCs w:val="24"/>
              </w:rPr>
              <w:t>近三年企业根据本企业劳动合同全员按时足额为员工缴纳五险一金的得</w:t>
            </w:r>
            <w:r>
              <w:rPr>
                <w:rFonts w:hint="eastAsia" w:ascii="仿宋" w:hAnsi="仿宋" w:eastAsia="仿宋" w:cs="Times New Roman"/>
                <w:color w:val="000000"/>
                <w:kern w:val="0"/>
                <w:sz w:val="24"/>
                <w:szCs w:val="24"/>
                <w:lang w:val="en-US" w:eastAsia="zh-CN"/>
              </w:rPr>
              <w:t>4</w:t>
            </w:r>
            <w:r>
              <w:rPr>
                <w:rFonts w:hint="eastAsia" w:ascii="仿宋" w:hAnsi="仿宋" w:eastAsia="仿宋" w:cs="宋体"/>
                <w:color w:val="000000"/>
                <w:kern w:val="0"/>
                <w:sz w:val="24"/>
                <w:szCs w:val="24"/>
              </w:rPr>
              <w:t>分;非全员参保，缴纳人数超过总人数</w:t>
            </w:r>
            <w:r>
              <w:rPr>
                <w:rFonts w:ascii="仿宋" w:hAnsi="仿宋" w:eastAsia="仿宋" w:cs="Times New Roman"/>
                <w:color w:val="000000"/>
                <w:kern w:val="0"/>
                <w:sz w:val="24"/>
                <w:szCs w:val="24"/>
              </w:rPr>
              <w:t>50%</w:t>
            </w:r>
            <w:r>
              <w:rPr>
                <w:rFonts w:hint="eastAsia" w:ascii="仿宋" w:hAnsi="仿宋" w:eastAsia="仿宋" w:cs="宋体"/>
                <w:color w:val="000000"/>
                <w:kern w:val="0"/>
                <w:sz w:val="24"/>
                <w:szCs w:val="24"/>
              </w:rPr>
              <w:t>的得</w:t>
            </w:r>
            <w:r>
              <w:rPr>
                <w:rFonts w:ascii="仿宋" w:hAnsi="仿宋" w:eastAsia="仿宋" w:cs="Times New Roman"/>
                <w:color w:val="000000"/>
                <w:kern w:val="0"/>
                <w:sz w:val="24"/>
                <w:szCs w:val="24"/>
              </w:rPr>
              <w:t>1</w:t>
            </w:r>
            <w:r>
              <w:rPr>
                <w:rFonts w:hint="eastAsia" w:ascii="仿宋" w:hAnsi="仿宋" w:eastAsia="仿宋" w:cs="宋体"/>
                <w:color w:val="000000"/>
                <w:kern w:val="0"/>
                <w:sz w:val="24"/>
                <w:szCs w:val="24"/>
              </w:rPr>
              <w:t>分,于总人数</w:t>
            </w:r>
            <w:r>
              <w:rPr>
                <w:rFonts w:ascii="仿宋" w:hAnsi="仿宋" w:eastAsia="仿宋" w:cs="Times New Roman"/>
                <w:color w:val="000000"/>
                <w:kern w:val="0"/>
                <w:sz w:val="24"/>
                <w:szCs w:val="24"/>
              </w:rPr>
              <w:t>50%</w:t>
            </w:r>
            <w:r>
              <w:rPr>
                <w:rFonts w:hint="eastAsia" w:ascii="仿宋" w:hAnsi="仿宋" w:eastAsia="仿宋" w:cs="宋体"/>
                <w:color w:val="000000"/>
                <w:kern w:val="0"/>
                <w:sz w:val="24"/>
                <w:szCs w:val="24"/>
              </w:rPr>
              <w:t>的得</w:t>
            </w:r>
            <w:r>
              <w:rPr>
                <w:rFonts w:hint="eastAsia" w:ascii="仿宋" w:hAnsi="仿宋" w:eastAsia="仿宋" w:cs="Times New Roman"/>
                <w:color w:val="000000"/>
                <w:kern w:val="0"/>
                <w:sz w:val="24"/>
                <w:szCs w:val="24"/>
                <w:lang w:val="en-US" w:eastAsia="zh-CN"/>
              </w:rPr>
              <w:t>1</w:t>
            </w:r>
            <w:r>
              <w:rPr>
                <w:rFonts w:hint="eastAsia" w:ascii="仿宋" w:hAnsi="仿宋" w:eastAsia="仿宋" w:cs="宋体"/>
                <w:color w:val="000000"/>
                <w:kern w:val="0"/>
                <w:sz w:val="24"/>
                <w:szCs w:val="24"/>
              </w:rPr>
              <w:t>分，不缴纳五险一金，或因劳动合同纠纷造成重大社会影响的不得分。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rPr>
        <w:tc>
          <w:tcPr>
            <w:tcW w:w="1290" w:type="dxa"/>
            <w:vMerge w:val="continue"/>
            <w:vAlign w:val="center"/>
          </w:tcPr>
          <w:p>
            <w:pPr>
              <w:autoSpaceDE w:val="0"/>
              <w:autoSpaceDN w:val="0"/>
              <w:adjustRightInd w:val="0"/>
              <w:jc w:val="center"/>
              <w:rPr>
                <w:rFonts w:ascii="仿宋" w:hAnsi="仿宋" w:eastAsia="仿宋" w:cs="宋体"/>
                <w:b/>
                <w:bCs/>
                <w:color w:val="000000"/>
                <w:kern w:val="0"/>
                <w:sz w:val="24"/>
                <w:szCs w:val="24"/>
              </w:rPr>
            </w:pPr>
          </w:p>
        </w:tc>
        <w:tc>
          <w:tcPr>
            <w:tcW w:w="1409" w:type="dxa"/>
            <w:vAlign w:val="center"/>
          </w:tcPr>
          <w:p>
            <w:pPr>
              <w:spacing w:line="300" w:lineRule="exact"/>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3.4</w:t>
            </w:r>
          </w:p>
          <w:p>
            <w:pPr>
              <w:spacing w:line="30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社会公益</w:t>
            </w:r>
          </w:p>
          <w:p>
            <w:pPr>
              <w:spacing w:line="300" w:lineRule="exact"/>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5分</w:t>
            </w:r>
            <w:r>
              <w:rPr>
                <w:rFonts w:hint="eastAsia" w:ascii="仿宋" w:hAnsi="仿宋" w:eastAsia="仿宋" w:cs="宋体"/>
                <w:color w:val="000000"/>
                <w:kern w:val="0"/>
                <w:sz w:val="24"/>
                <w:szCs w:val="24"/>
                <w:lang w:eastAsia="zh-CN"/>
              </w:rPr>
              <w:t>）</w:t>
            </w:r>
          </w:p>
        </w:tc>
        <w:tc>
          <w:tcPr>
            <w:tcW w:w="1570" w:type="dxa"/>
            <w:vAlign w:val="center"/>
          </w:tcPr>
          <w:p>
            <w:pPr>
              <w:autoSpaceDE w:val="0"/>
              <w:autoSpaceDN w:val="0"/>
              <w:adjustRightInd w:val="0"/>
              <w:jc w:val="center"/>
              <w:rPr>
                <w:rFonts w:ascii="仿宋" w:hAnsi="仿宋" w:eastAsia="仿宋" w:cs="宋体"/>
                <w:color w:val="000000"/>
                <w:kern w:val="0"/>
                <w:sz w:val="24"/>
                <w:szCs w:val="24"/>
              </w:rPr>
            </w:pPr>
          </w:p>
        </w:tc>
        <w:tc>
          <w:tcPr>
            <w:tcW w:w="843"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p>
        </w:tc>
        <w:tc>
          <w:tcPr>
            <w:tcW w:w="4336"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评价企业从事公益慈善事业的情况。</w:t>
            </w:r>
          </w:p>
        </w:tc>
        <w:tc>
          <w:tcPr>
            <w:tcW w:w="5608" w:type="dxa"/>
            <w:vAlign w:val="center"/>
          </w:tcPr>
          <w:p>
            <w:pPr>
              <w:autoSpaceDE w:val="0"/>
              <w:autoSpaceDN w:val="0"/>
              <w:adjustRightInd w:val="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由企业提供</w:t>
            </w:r>
            <w:r>
              <w:rPr>
                <w:rFonts w:hint="eastAsia" w:ascii="仿宋" w:hAnsi="仿宋" w:eastAsia="仿宋" w:cs="宋体"/>
                <w:color w:val="000000"/>
                <w:kern w:val="0"/>
                <w:sz w:val="24"/>
                <w:szCs w:val="24"/>
                <w:lang w:eastAsia="zh-CN"/>
              </w:rPr>
              <w:t>近五年内</w:t>
            </w:r>
            <w:r>
              <w:rPr>
                <w:rFonts w:hint="eastAsia" w:ascii="仿宋" w:hAnsi="仿宋" w:eastAsia="仿宋" w:cs="宋体"/>
                <w:color w:val="000000"/>
                <w:kern w:val="0"/>
                <w:sz w:val="24"/>
                <w:szCs w:val="24"/>
              </w:rPr>
              <w:t>参加公益事项证明（如捐款救助证明，获得县级以上政府部门表彰证书等），根据实际情况得分。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62" w:hRule="atLeast"/>
        </w:trPr>
        <w:tc>
          <w:tcPr>
            <w:tcW w:w="1290" w:type="dxa"/>
            <w:vMerge w:val="restart"/>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4附加分</w:t>
            </w:r>
          </w:p>
          <w:p>
            <w:pPr>
              <w:autoSpaceDE w:val="0"/>
              <w:autoSpaceDN w:val="0"/>
              <w:adjustRightInd w:val="0"/>
              <w:jc w:val="center"/>
              <w:rPr>
                <w:rFonts w:hint="default"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15分</w:t>
            </w:r>
          </w:p>
        </w:tc>
        <w:tc>
          <w:tcPr>
            <w:tcW w:w="1409" w:type="dxa"/>
            <w:vMerge w:val="restart"/>
            <w:vAlign w:val="center"/>
          </w:tcPr>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4.1</w:t>
            </w:r>
          </w:p>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获奖情况</w:t>
            </w:r>
          </w:p>
          <w:p>
            <w:pPr>
              <w:autoSpaceDE w:val="0"/>
              <w:autoSpaceDN w:val="0"/>
              <w:adjustRightInd w:val="0"/>
              <w:jc w:val="center"/>
              <w:rPr>
                <w:rFonts w:hint="eastAsia" w:ascii="仿宋" w:hAnsi="仿宋" w:eastAsia="仿宋" w:cs="宋体"/>
                <w:color w:val="000000"/>
                <w:kern w:val="0"/>
                <w:sz w:val="24"/>
                <w:szCs w:val="24"/>
                <w:lang w:val="en-US" w:eastAsia="zh-CN"/>
              </w:rPr>
            </w:pPr>
          </w:p>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（9分）</w:t>
            </w: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国家级</w:t>
            </w:r>
          </w:p>
        </w:tc>
        <w:tc>
          <w:tcPr>
            <w:tcW w:w="843" w:type="dxa"/>
            <w:vAlign w:val="center"/>
          </w:tcPr>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国家级广厦奖、鲁班奖、白玉兰奖等</w:t>
            </w:r>
          </w:p>
        </w:tc>
        <w:tc>
          <w:tcPr>
            <w:tcW w:w="5608" w:type="dxa"/>
            <w:vMerge w:val="restart"/>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获得国家级</w:t>
            </w:r>
            <w:r>
              <w:rPr>
                <w:rFonts w:hint="eastAsia" w:ascii="仿宋" w:hAnsi="仿宋" w:eastAsia="仿宋" w:cs="宋体"/>
                <w:color w:val="000000"/>
                <w:kern w:val="0"/>
                <w:sz w:val="24"/>
                <w:szCs w:val="24"/>
              </w:rPr>
              <w:t>行政主管部门或行业协会表彰、授牌等</w:t>
            </w:r>
            <w:r>
              <w:rPr>
                <w:rFonts w:hint="eastAsia" w:ascii="仿宋" w:hAnsi="仿宋" w:eastAsia="仿宋" w:cs="宋体"/>
                <w:color w:val="000000"/>
                <w:kern w:val="0"/>
                <w:sz w:val="24"/>
                <w:szCs w:val="24"/>
                <w:lang w:eastAsia="zh-CN"/>
              </w:rPr>
              <w:t>奖项得</w:t>
            </w:r>
            <w:r>
              <w:rPr>
                <w:rFonts w:hint="eastAsia" w:ascii="仿宋" w:hAnsi="仿宋" w:eastAsia="仿宋" w:cs="宋体"/>
                <w:color w:val="000000"/>
                <w:kern w:val="0"/>
                <w:sz w:val="24"/>
                <w:szCs w:val="24"/>
                <w:lang w:val="en-US" w:eastAsia="zh-CN"/>
              </w:rPr>
              <w:t>4分，获得省级</w:t>
            </w:r>
            <w:r>
              <w:rPr>
                <w:rFonts w:hint="eastAsia" w:ascii="仿宋" w:hAnsi="仿宋" w:eastAsia="仿宋" w:cs="宋体"/>
                <w:color w:val="000000"/>
                <w:kern w:val="0"/>
                <w:sz w:val="24"/>
                <w:szCs w:val="24"/>
              </w:rPr>
              <w:t>行政主管部门或行业协会表彰、授牌等</w:t>
            </w:r>
            <w:r>
              <w:rPr>
                <w:rFonts w:hint="eastAsia" w:ascii="仿宋" w:hAnsi="仿宋" w:eastAsia="仿宋" w:cs="宋体"/>
                <w:color w:val="000000"/>
                <w:kern w:val="0"/>
                <w:sz w:val="24"/>
                <w:szCs w:val="24"/>
                <w:lang w:val="en-US" w:eastAsia="zh-CN"/>
              </w:rPr>
              <w:t>奖项得3分，获得市级</w:t>
            </w:r>
            <w:r>
              <w:rPr>
                <w:rFonts w:hint="eastAsia" w:ascii="仿宋" w:hAnsi="仿宋" w:eastAsia="仿宋" w:cs="宋体"/>
                <w:color w:val="000000"/>
                <w:kern w:val="0"/>
                <w:sz w:val="24"/>
                <w:szCs w:val="24"/>
              </w:rPr>
              <w:t>行政主管部门或行业协会表彰、授牌等</w:t>
            </w:r>
            <w:r>
              <w:rPr>
                <w:rFonts w:hint="eastAsia" w:ascii="仿宋" w:hAnsi="仿宋" w:eastAsia="仿宋" w:cs="宋体"/>
                <w:color w:val="000000"/>
                <w:kern w:val="0"/>
                <w:sz w:val="24"/>
                <w:szCs w:val="24"/>
                <w:lang w:val="en-US" w:eastAsia="zh-CN"/>
              </w:rPr>
              <w:t>奖项得2分。每层级选取最高一项，可累计加分。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85"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continue"/>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省级</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省级广厦奖、省级物业示范项目、十佳物业项目等</w:t>
            </w:r>
          </w:p>
        </w:tc>
        <w:tc>
          <w:tcPr>
            <w:tcW w:w="5608" w:type="dxa"/>
            <w:vMerge w:val="continue"/>
            <w:vAlign w:val="center"/>
          </w:tcPr>
          <w:p>
            <w:pPr>
              <w:autoSpaceDE w:val="0"/>
              <w:autoSpaceDN w:val="0"/>
              <w:adjustRightInd w:val="0"/>
              <w:jc w:val="left"/>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77"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continue"/>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p>
        </w:tc>
        <w:tc>
          <w:tcPr>
            <w:tcW w:w="1570" w:type="dxa"/>
            <w:vAlign w:val="center"/>
          </w:tcPr>
          <w:p>
            <w:pPr>
              <w:autoSpaceDE w:val="0"/>
              <w:autoSpaceDN w:val="0"/>
              <w:adjustRightInd w:val="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市级</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优秀楼盘、优秀物业示范项目等</w:t>
            </w:r>
          </w:p>
        </w:tc>
        <w:tc>
          <w:tcPr>
            <w:tcW w:w="5608" w:type="dxa"/>
            <w:vMerge w:val="continue"/>
            <w:vAlign w:val="center"/>
          </w:tcPr>
          <w:p>
            <w:pPr>
              <w:autoSpaceDE w:val="0"/>
              <w:autoSpaceDN w:val="0"/>
              <w:adjustRightInd w:val="0"/>
              <w:jc w:val="left"/>
              <w:rPr>
                <w:rFonts w:hint="eastAsia"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30"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restart"/>
            <w:vAlign w:val="center"/>
          </w:tcPr>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4.2</w:t>
            </w:r>
          </w:p>
          <w:p>
            <w:pPr>
              <w:autoSpaceDE w:val="0"/>
              <w:autoSpaceDN w:val="0"/>
              <w:adjustRightInd w:val="0"/>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参加行业协会活动情况</w:t>
            </w:r>
          </w:p>
          <w:p>
            <w:pPr>
              <w:autoSpaceDE w:val="0"/>
              <w:autoSpaceDN w:val="0"/>
              <w:adjustRightInd w:val="0"/>
              <w:ind w:firstLine="240" w:firstLineChars="100"/>
              <w:jc w:val="both"/>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（6分）</w:t>
            </w: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中房协</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参加中国房地产协会活动</w:t>
            </w:r>
          </w:p>
        </w:tc>
        <w:tc>
          <w:tcPr>
            <w:tcW w:w="5608" w:type="dxa"/>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中房协副会长单位加</w:t>
            </w:r>
            <w:r>
              <w:rPr>
                <w:rFonts w:hint="eastAsia" w:ascii="仿宋" w:hAnsi="仿宋" w:eastAsia="仿宋" w:cs="宋体"/>
                <w:color w:val="000000"/>
                <w:kern w:val="0"/>
                <w:sz w:val="24"/>
                <w:szCs w:val="24"/>
                <w:lang w:val="en-US" w:eastAsia="zh-CN"/>
              </w:rPr>
              <w:t>3分；常务理事、理事单位加2分；会员单位加1分。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82"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continue"/>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省房协</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参加黑龙江省房地产业协会活动</w:t>
            </w:r>
          </w:p>
        </w:tc>
        <w:tc>
          <w:tcPr>
            <w:tcW w:w="5608" w:type="dxa"/>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省房协副会长单位加</w:t>
            </w:r>
            <w:r>
              <w:rPr>
                <w:rFonts w:hint="eastAsia" w:ascii="仿宋" w:hAnsi="仿宋" w:eastAsia="仿宋" w:cs="宋体"/>
                <w:color w:val="000000"/>
                <w:kern w:val="0"/>
                <w:sz w:val="24"/>
                <w:szCs w:val="24"/>
                <w:lang w:val="en-US" w:eastAsia="zh-CN"/>
              </w:rPr>
              <w:t>2分；常务理事、理事单位加1.5分；会员单位加1分。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69" w:hRule="atLeast"/>
        </w:trPr>
        <w:tc>
          <w:tcPr>
            <w:tcW w:w="1290" w:type="dxa"/>
            <w:vMerge w:val="continue"/>
            <w:vAlign w:val="center"/>
          </w:tcPr>
          <w:p>
            <w:pPr>
              <w:autoSpaceDE w:val="0"/>
              <w:autoSpaceDN w:val="0"/>
              <w:adjustRightInd w:val="0"/>
              <w:jc w:val="center"/>
              <w:rPr>
                <w:rFonts w:hint="eastAsia" w:ascii="仿宋" w:hAnsi="仿宋" w:eastAsia="仿宋" w:cs="宋体"/>
                <w:b/>
                <w:bCs/>
                <w:color w:val="000000"/>
                <w:kern w:val="0"/>
                <w:sz w:val="24"/>
                <w:szCs w:val="24"/>
                <w:lang w:val="en-US" w:eastAsia="zh-CN"/>
              </w:rPr>
            </w:pPr>
          </w:p>
        </w:tc>
        <w:tc>
          <w:tcPr>
            <w:tcW w:w="1409" w:type="dxa"/>
            <w:vMerge w:val="continue"/>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p>
        </w:tc>
        <w:tc>
          <w:tcPr>
            <w:tcW w:w="1570" w:type="dxa"/>
            <w:vAlign w:val="center"/>
          </w:tcPr>
          <w:p>
            <w:pPr>
              <w:autoSpaceDE w:val="0"/>
              <w:autoSpaceDN w:val="0"/>
              <w:adjustRightInd w:val="0"/>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市房协</w:t>
            </w:r>
          </w:p>
        </w:tc>
        <w:tc>
          <w:tcPr>
            <w:tcW w:w="843" w:type="dxa"/>
            <w:vAlign w:val="center"/>
          </w:tcPr>
          <w:p>
            <w:pPr>
              <w:autoSpaceDE w:val="0"/>
              <w:autoSpaceDN w:val="0"/>
              <w:adjustRightInd w:val="0"/>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1分</w:t>
            </w:r>
          </w:p>
        </w:tc>
        <w:tc>
          <w:tcPr>
            <w:tcW w:w="4336" w:type="dxa"/>
            <w:vAlign w:val="center"/>
          </w:tcPr>
          <w:p>
            <w:pPr>
              <w:autoSpaceDE w:val="0"/>
              <w:autoSpaceDN w:val="0"/>
              <w:adjustRightInd w:val="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参加市级房地产业协会（开发协会）活动</w:t>
            </w:r>
          </w:p>
        </w:tc>
        <w:tc>
          <w:tcPr>
            <w:tcW w:w="5608" w:type="dxa"/>
            <w:vAlign w:val="center"/>
          </w:tcPr>
          <w:p>
            <w:pPr>
              <w:autoSpaceDE w:val="0"/>
              <w:autoSpaceDN w:val="0"/>
              <w:adjustRightInd w:val="0"/>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市房协（开发协会）副会长单位加</w:t>
            </w:r>
            <w:r>
              <w:rPr>
                <w:rFonts w:hint="eastAsia" w:ascii="仿宋" w:hAnsi="仿宋" w:eastAsia="仿宋" w:cs="宋体"/>
                <w:color w:val="000000"/>
                <w:kern w:val="0"/>
                <w:sz w:val="24"/>
                <w:szCs w:val="24"/>
                <w:lang w:val="en-US" w:eastAsia="zh-CN"/>
              </w:rPr>
              <w:t>1分；常务理事、理事单位加0.75分；会员加0.5分。</w:t>
            </w:r>
          </w:p>
        </w:tc>
      </w:tr>
    </w:tbl>
    <w:p/>
    <w:p/>
    <w:p/>
    <w:p/>
    <w:p/>
    <w:p/>
    <w:p/>
    <w:tbl>
      <w:tblPr>
        <w:tblStyle w:val="5"/>
        <w:tblW w:w="14451" w:type="dxa"/>
        <w:tblInd w:w="0" w:type="dxa"/>
        <w:shd w:val="clear" w:color="auto" w:fill="auto"/>
        <w:tblLayout w:type="fixed"/>
        <w:tblCellMar>
          <w:top w:w="0" w:type="dxa"/>
          <w:left w:w="0" w:type="dxa"/>
          <w:bottom w:w="0" w:type="dxa"/>
          <w:right w:w="0" w:type="dxa"/>
        </w:tblCellMar>
      </w:tblPr>
      <w:tblGrid>
        <w:gridCol w:w="14451"/>
      </w:tblGrid>
      <w:tr>
        <w:tblPrEx>
          <w:shd w:val="clear" w:color="auto" w:fill="auto"/>
          <w:tblCellMar>
            <w:top w:w="0" w:type="dxa"/>
            <w:left w:w="0" w:type="dxa"/>
            <w:bottom w:w="0" w:type="dxa"/>
            <w:right w:w="0" w:type="dxa"/>
          </w:tblCellMar>
        </w:tblPrEx>
        <w:trPr>
          <w:trHeight w:val="960" w:hRule="atLeast"/>
        </w:trPr>
        <w:tc>
          <w:tcPr>
            <w:tcW w:w="144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房地产开发企业存在下列严重失信行为的，一票否决</w:t>
            </w:r>
          </w:p>
        </w:tc>
      </w:tr>
      <w:tr>
        <w:tblPrEx>
          <w:shd w:val="clear" w:color="auto" w:fill="auto"/>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1.企业或企业法定代表人、主要股东、主要管理人员目前被列入失信被执行人的；</w:t>
            </w:r>
          </w:p>
        </w:tc>
      </w:tr>
      <w:tr>
        <w:tblPrEx>
          <w:shd w:val="clear" w:color="auto" w:fill="auto"/>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2.企业法定代表人或执行合伙人、主要股东或合伙人因执行企业职务的行为犯罪，被依法追究刑事责任的；</w:t>
            </w:r>
          </w:p>
        </w:tc>
      </w:tr>
      <w:tr>
        <w:tblPrEx>
          <w:shd w:val="clear" w:color="auto" w:fill="auto"/>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3.提供虚假《国有土地使用权证》、《建设用地规划许可证》、《建设工程规划许可证》、《建设工程施工许可证》、《商品房预售许可证》等相关证件进行开发的；</w:t>
            </w:r>
          </w:p>
        </w:tc>
      </w:tr>
      <w:tr>
        <w:tblPrEx>
          <w:shd w:val="clear" w:color="auto" w:fill="auto"/>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4.隐瞒有关情况、提供虚假材料，或者采用欺骗等不正当手段取得商品房预售许可证、房屋所有权证的；</w:t>
            </w:r>
          </w:p>
        </w:tc>
      </w:tr>
      <w:tr>
        <w:tblPrEx>
          <w:shd w:val="clear" w:color="auto" w:fill="auto"/>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5.开发的房地产项目存在重大质量问题，造成严重后果的；</w:t>
            </w:r>
          </w:p>
        </w:tc>
      </w:tr>
      <w:tr>
        <w:tblPrEx>
          <w:shd w:val="clear" w:color="auto" w:fill="auto"/>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6.虚构事实或隐瞒真相，与一方当事人串通、对相关当事人进行误导或欺诈，给当事人造成重大损失的；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7.被有关机关或行业协会认定，采取不正当手段恶性竞争，严重损害行业或同行声誉、利益的；如在投标过程中串标、围标等舞弊行为；</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8.消费者集体投诉并经核实为有责投诉，但未对投诉事件进行处理的；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9.威胁、恐吓、殴打行政执法人员或者采取其他方式阻碍行政执法人员依法履行职责的；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10.三年内有偷、逃、抗税记录的；</w:t>
            </w:r>
          </w:p>
        </w:tc>
      </w:tr>
      <w:tr>
        <w:tblPrEx>
          <w:tblCellMar>
            <w:top w:w="0" w:type="dxa"/>
            <w:left w:w="0" w:type="dxa"/>
            <w:bottom w:w="0" w:type="dxa"/>
            <w:right w:w="0" w:type="dxa"/>
          </w:tblCellMar>
        </w:tblPrEx>
        <w:trPr>
          <w:trHeight w:val="660" w:hRule="atLeast"/>
        </w:trPr>
        <w:tc>
          <w:tcPr>
            <w:tcW w:w="144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11.近三年发生特别重大安全事故（伤亡在30人以上），造成重大影响的。</w:t>
            </w:r>
          </w:p>
        </w:tc>
      </w:tr>
    </w:tbl>
    <w:p>
      <w:pPr>
        <w:jc w:val="both"/>
        <w:rPr>
          <w:rFonts w:hint="eastAsia"/>
          <w:b/>
          <w:kern w:val="0"/>
          <w:sz w:val="28"/>
          <w:szCs w:val="28"/>
        </w:rPr>
        <w:sectPr>
          <w:pgSz w:w="16838" w:h="11906" w:orient="landscape"/>
          <w:pgMar w:top="1077" w:right="1191" w:bottom="1077" w:left="1191" w:header="851" w:footer="992" w:gutter="0"/>
          <w:cols w:space="425" w:num="1"/>
          <w:docGrid w:type="lines" w:linePitch="312" w:charSpace="0"/>
        </w:sectPr>
      </w:pPr>
    </w:p>
    <w:p>
      <w:pPr>
        <w:spacing w:line="240" w:lineRule="auto"/>
        <w:rPr>
          <w:rFonts w:ascii="仿宋" w:hAnsi="仿宋" w:eastAsia="仿宋"/>
          <w:sz w:val="24"/>
          <w:szCs w:val="24"/>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zVlMmIxNjA0YTI3MTBhYTk0NTBiOGEwMGEwNDUifQ=="/>
  </w:docVars>
  <w:rsids>
    <w:rsidRoot w:val="00DC6FCD"/>
    <w:rsid w:val="0001520E"/>
    <w:rsid w:val="000307A0"/>
    <w:rsid w:val="00111DDB"/>
    <w:rsid w:val="001866FF"/>
    <w:rsid w:val="001867F0"/>
    <w:rsid w:val="00220EDC"/>
    <w:rsid w:val="002617BF"/>
    <w:rsid w:val="0026378E"/>
    <w:rsid w:val="00296B09"/>
    <w:rsid w:val="003053AB"/>
    <w:rsid w:val="00334AE8"/>
    <w:rsid w:val="00377F9A"/>
    <w:rsid w:val="003D1B9D"/>
    <w:rsid w:val="003E1B6A"/>
    <w:rsid w:val="00407BFF"/>
    <w:rsid w:val="00537D4C"/>
    <w:rsid w:val="0067729F"/>
    <w:rsid w:val="00680FBE"/>
    <w:rsid w:val="006A74CB"/>
    <w:rsid w:val="006B3D4D"/>
    <w:rsid w:val="006C6380"/>
    <w:rsid w:val="0078137C"/>
    <w:rsid w:val="007A11B2"/>
    <w:rsid w:val="007C350B"/>
    <w:rsid w:val="007E1468"/>
    <w:rsid w:val="007E4D48"/>
    <w:rsid w:val="00833479"/>
    <w:rsid w:val="00844B8F"/>
    <w:rsid w:val="00862426"/>
    <w:rsid w:val="00881F97"/>
    <w:rsid w:val="008D2523"/>
    <w:rsid w:val="00951B7F"/>
    <w:rsid w:val="009709C7"/>
    <w:rsid w:val="00985F32"/>
    <w:rsid w:val="00A5744C"/>
    <w:rsid w:val="00AC3638"/>
    <w:rsid w:val="00B30CE3"/>
    <w:rsid w:val="00BC6989"/>
    <w:rsid w:val="00BC6C71"/>
    <w:rsid w:val="00CE4F5A"/>
    <w:rsid w:val="00D32D5C"/>
    <w:rsid w:val="00DB2DB0"/>
    <w:rsid w:val="00DC6FCD"/>
    <w:rsid w:val="00E21014"/>
    <w:rsid w:val="00E64514"/>
    <w:rsid w:val="00E868C2"/>
    <w:rsid w:val="00E92A24"/>
    <w:rsid w:val="00F135B2"/>
    <w:rsid w:val="00F96BC3"/>
    <w:rsid w:val="00FE4AE3"/>
    <w:rsid w:val="0A517870"/>
    <w:rsid w:val="0DA0215A"/>
    <w:rsid w:val="10961400"/>
    <w:rsid w:val="174966E4"/>
    <w:rsid w:val="18635FD9"/>
    <w:rsid w:val="1A314DAA"/>
    <w:rsid w:val="1A4D608D"/>
    <w:rsid w:val="1AD5070F"/>
    <w:rsid w:val="1D8769E8"/>
    <w:rsid w:val="208C2D61"/>
    <w:rsid w:val="25A07E7E"/>
    <w:rsid w:val="277D28B0"/>
    <w:rsid w:val="27EB02A8"/>
    <w:rsid w:val="28757341"/>
    <w:rsid w:val="29621355"/>
    <w:rsid w:val="2C3507C0"/>
    <w:rsid w:val="39FC0BD3"/>
    <w:rsid w:val="3A772B49"/>
    <w:rsid w:val="4010483B"/>
    <w:rsid w:val="4CA54251"/>
    <w:rsid w:val="4F4D6F62"/>
    <w:rsid w:val="51B41649"/>
    <w:rsid w:val="5F96170C"/>
    <w:rsid w:val="606F04D1"/>
    <w:rsid w:val="6B0E458E"/>
    <w:rsid w:val="6B972FE1"/>
    <w:rsid w:val="6D7F399A"/>
    <w:rsid w:val="6F5619E0"/>
    <w:rsid w:val="77404820"/>
    <w:rsid w:val="7B0E5B25"/>
    <w:rsid w:val="7C4F2F54"/>
    <w:rsid w:val="7D0F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2 Char"/>
    <w:basedOn w:val="7"/>
    <w:link w:val="2"/>
    <w:qFormat/>
    <w:uiPriority w:val="9"/>
    <w:rPr>
      <w:rFonts w:asciiTheme="majorHAnsi" w:hAnsiTheme="majorHAnsi" w:eastAsiaTheme="majorEastAsia" w:cstheme="majorBidi"/>
      <w:b/>
      <w:bCs/>
      <w:sz w:val="32"/>
      <w:szCs w:val="32"/>
    </w:rPr>
  </w:style>
  <w:style w:type="character" w:customStyle="1" w:styleId="11">
    <w:name w:val="font0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8ACD4-45AF-415D-BD3E-24128F90F870}">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10</Pages>
  <Words>5524</Words>
  <Characters>5914</Characters>
  <Lines>65</Lines>
  <Paragraphs>18</Paragraphs>
  <TotalTime>13</TotalTime>
  <ScaleCrop>false</ScaleCrop>
  <LinksUpToDate>false</LinksUpToDate>
  <CharactersWithSpaces>5914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2019-05-29T02:56:00Z</dcterms:created>
  <dc:creator>User</dc:creator>
  <cp:lastModifiedBy>lenovo06</cp:lastModifiedBy>
  <cp:lastPrinted>2023-06-12T02:34:00Z</cp:lastPrinted>
  <dcterms:modified xsi:type="dcterms:W3CDTF">2023-06-12T06:21:55Z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8A146D77481B42FAB852E5FB48B7351E_13</vt:lpwstr>
  </property>
</Properties>
</file>